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D0" w:rsidRPr="00DC594B" w:rsidRDefault="009C73D0" w:rsidP="009C73D0">
      <w:pPr>
        <w:spacing w:after="0" w:line="360" w:lineRule="auto"/>
        <w:ind w:left="720"/>
        <w:contextualSpacing/>
        <w:jc w:val="center"/>
        <w:rPr>
          <w:rFonts w:ascii="Times New Roman" w:eastAsia="Calibri" w:hAnsi="Times New Roman" w:cs="Times New Roman"/>
          <w:b/>
          <w:sz w:val="28"/>
          <w:szCs w:val="28"/>
          <w:lang w:val="en-IN"/>
        </w:rPr>
      </w:pPr>
      <w:r w:rsidRPr="00DC594B">
        <w:rPr>
          <w:rFonts w:ascii="Times New Roman" w:eastAsia="Calibri" w:hAnsi="Times New Roman" w:cs="Times New Roman"/>
          <w:b/>
          <w:sz w:val="28"/>
          <w:szCs w:val="28"/>
          <w:lang w:val="en-IN"/>
        </w:rPr>
        <w:t xml:space="preserve">CASE ANALYSIS OF L. C. KUMAR V. </w:t>
      </w:r>
      <w:r w:rsidR="000A1C98" w:rsidRPr="00DC594B">
        <w:rPr>
          <w:rFonts w:ascii="Times New Roman" w:eastAsia="Calibri" w:hAnsi="Times New Roman" w:cs="Times New Roman"/>
          <w:b/>
          <w:sz w:val="28"/>
          <w:szCs w:val="28"/>
          <w:lang w:val="en-IN"/>
        </w:rPr>
        <w:t>UNION OF INDIA</w:t>
      </w:r>
    </w:p>
    <w:p w:rsidR="009C73D0" w:rsidRDefault="009C73D0" w:rsidP="009C73D0">
      <w:pPr>
        <w:spacing w:after="0" w:line="360" w:lineRule="auto"/>
        <w:ind w:left="720"/>
        <w:contextualSpacing/>
        <w:jc w:val="center"/>
        <w:rPr>
          <w:rFonts w:ascii="Times New Roman" w:eastAsia="Calibri" w:hAnsi="Times New Roman" w:cs="Times New Roman"/>
          <w:sz w:val="28"/>
          <w:szCs w:val="28"/>
          <w:lang w:val="en-IN"/>
        </w:rPr>
      </w:pPr>
    </w:p>
    <w:p w:rsidR="009C73D0" w:rsidRDefault="009C73D0" w:rsidP="009C73D0">
      <w:pPr>
        <w:spacing w:after="0" w:line="360" w:lineRule="auto"/>
        <w:ind w:left="720"/>
        <w:contextualSpacing/>
        <w:jc w:val="center"/>
        <w:rPr>
          <w:noProof/>
        </w:rPr>
      </w:pPr>
    </w:p>
    <w:p w:rsidR="00FA0B30" w:rsidRDefault="00FA0B30" w:rsidP="009C73D0">
      <w:pPr>
        <w:spacing w:after="0" w:line="360" w:lineRule="auto"/>
        <w:ind w:left="720"/>
        <w:contextualSpacing/>
        <w:jc w:val="center"/>
        <w:rPr>
          <w:noProof/>
        </w:rPr>
      </w:pPr>
    </w:p>
    <w:p w:rsidR="00FA0B30" w:rsidRDefault="00FA0B30" w:rsidP="009C73D0">
      <w:pPr>
        <w:spacing w:after="0" w:line="360" w:lineRule="auto"/>
        <w:ind w:left="720"/>
        <w:contextualSpacing/>
        <w:jc w:val="center"/>
        <w:rPr>
          <w:noProof/>
        </w:rPr>
      </w:pPr>
    </w:p>
    <w:p w:rsidR="00FA0B30" w:rsidRDefault="00FA0B30" w:rsidP="009C73D0">
      <w:pPr>
        <w:spacing w:after="0" w:line="360" w:lineRule="auto"/>
        <w:ind w:left="720"/>
        <w:contextualSpacing/>
        <w:jc w:val="center"/>
        <w:rPr>
          <w:noProof/>
        </w:rPr>
      </w:pPr>
    </w:p>
    <w:p w:rsidR="00FA0B30" w:rsidRDefault="00FA0B30" w:rsidP="009C73D0">
      <w:pPr>
        <w:spacing w:after="0" w:line="360" w:lineRule="auto"/>
        <w:ind w:left="720"/>
        <w:contextualSpacing/>
        <w:jc w:val="center"/>
        <w:rPr>
          <w:noProof/>
        </w:rPr>
      </w:pPr>
    </w:p>
    <w:p w:rsidR="00FA0B30" w:rsidRDefault="00FA0B30" w:rsidP="009C73D0">
      <w:pPr>
        <w:spacing w:after="0" w:line="360" w:lineRule="auto"/>
        <w:ind w:left="720"/>
        <w:contextualSpacing/>
        <w:jc w:val="center"/>
        <w:rPr>
          <w:noProof/>
        </w:rPr>
      </w:pPr>
    </w:p>
    <w:p w:rsidR="00FA0B30" w:rsidRDefault="00FA0B30" w:rsidP="009C73D0">
      <w:pPr>
        <w:spacing w:after="0" w:line="360" w:lineRule="auto"/>
        <w:ind w:left="720"/>
        <w:contextualSpacing/>
        <w:jc w:val="center"/>
        <w:rPr>
          <w:rFonts w:ascii="Times New Roman" w:eastAsia="Calibri" w:hAnsi="Times New Roman" w:cs="Times New Roman"/>
          <w:sz w:val="28"/>
          <w:szCs w:val="28"/>
          <w:lang w:val="en-IN"/>
        </w:rPr>
      </w:pPr>
    </w:p>
    <w:p w:rsidR="009C73D0" w:rsidRDefault="009C73D0" w:rsidP="009C73D0">
      <w:pPr>
        <w:spacing w:after="0" w:line="360" w:lineRule="auto"/>
        <w:ind w:left="720"/>
        <w:contextualSpacing/>
        <w:jc w:val="center"/>
        <w:rPr>
          <w:rFonts w:ascii="Times New Roman" w:eastAsia="Calibri" w:hAnsi="Times New Roman" w:cs="Times New Roman"/>
          <w:sz w:val="28"/>
          <w:szCs w:val="28"/>
          <w:lang w:val="en-IN"/>
        </w:rPr>
      </w:pPr>
    </w:p>
    <w:p w:rsidR="009C73D0" w:rsidRPr="009C73D0" w:rsidRDefault="009C73D0" w:rsidP="009C73D0">
      <w:pPr>
        <w:spacing w:after="0" w:line="360" w:lineRule="auto"/>
        <w:ind w:left="720"/>
        <w:contextualSpacing/>
        <w:jc w:val="center"/>
        <w:rPr>
          <w:rFonts w:ascii="Times New Roman" w:eastAsia="Calibri" w:hAnsi="Times New Roman" w:cs="Times New Roman"/>
          <w:sz w:val="28"/>
          <w:szCs w:val="28"/>
          <w:lang w:val="en-IN"/>
        </w:rPr>
      </w:pPr>
      <w:r w:rsidRPr="009C73D0">
        <w:rPr>
          <w:rFonts w:ascii="Times New Roman" w:eastAsia="Calibri" w:hAnsi="Times New Roman" w:cs="Times New Roman"/>
          <w:sz w:val="28"/>
          <w:szCs w:val="28"/>
          <w:lang w:val="en-IN"/>
        </w:rPr>
        <w:t>BY</w:t>
      </w:r>
    </w:p>
    <w:p w:rsidR="009C73D0" w:rsidRPr="009C73D0" w:rsidRDefault="009C73D0" w:rsidP="009C73D0">
      <w:pPr>
        <w:spacing w:after="0" w:line="360" w:lineRule="auto"/>
        <w:ind w:left="720"/>
        <w:contextualSpacing/>
        <w:jc w:val="center"/>
        <w:rPr>
          <w:rFonts w:ascii="Times New Roman" w:eastAsia="Calibri" w:hAnsi="Times New Roman" w:cs="Times New Roman"/>
          <w:b/>
          <w:sz w:val="28"/>
          <w:szCs w:val="28"/>
          <w:lang w:val="en-IN"/>
        </w:rPr>
      </w:pPr>
      <w:r w:rsidRPr="009C73D0">
        <w:rPr>
          <w:rFonts w:ascii="Times New Roman" w:eastAsia="Calibri" w:hAnsi="Times New Roman" w:cs="Times New Roman"/>
          <w:b/>
          <w:sz w:val="28"/>
          <w:szCs w:val="28"/>
          <w:lang w:val="en-IN"/>
        </w:rPr>
        <w:t>A</w:t>
      </w:r>
      <w:r>
        <w:rPr>
          <w:rFonts w:ascii="Times New Roman" w:eastAsia="Calibri" w:hAnsi="Times New Roman" w:cs="Times New Roman"/>
          <w:b/>
          <w:sz w:val="28"/>
          <w:szCs w:val="28"/>
          <w:lang w:val="en-IN"/>
        </w:rPr>
        <w:t>NWESHA PATRA</w:t>
      </w:r>
    </w:p>
    <w:p w:rsidR="009C73D0" w:rsidRPr="00704628" w:rsidRDefault="009C73D0" w:rsidP="009C73D0">
      <w:pPr>
        <w:spacing w:after="0" w:line="360" w:lineRule="auto"/>
        <w:ind w:left="720"/>
        <w:contextualSpacing/>
        <w:jc w:val="center"/>
        <w:rPr>
          <w:rFonts w:ascii="Times New Roman" w:eastAsia="Calibri" w:hAnsi="Times New Roman" w:cs="Times New Roman"/>
          <w:sz w:val="28"/>
          <w:szCs w:val="28"/>
          <w:lang w:val="en-IN"/>
        </w:rPr>
      </w:pPr>
      <w:r w:rsidRPr="00704628">
        <w:rPr>
          <w:rFonts w:ascii="Times New Roman" w:eastAsia="Calibri" w:hAnsi="Times New Roman" w:cs="Times New Roman"/>
          <w:sz w:val="28"/>
          <w:szCs w:val="28"/>
          <w:lang w:val="en-IN"/>
        </w:rPr>
        <w:t>INTERN</w:t>
      </w:r>
    </w:p>
    <w:p w:rsidR="009C73D0" w:rsidRPr="00704628" w:rsidRDefault="009C73D0" w:rsidP="009C73D0">
      <w:pPr>
        <w:autoSpaceDE w:val="0"/>
        <w:autoSpaceDN w:val="0"/>
        <w:adjustRightInd w:val="0"/>
        <w:spacing w:after="0" w:line="360" w:lineRule="auto"/>
        <w:ind w:left="720"/>
        <w:jc w:val="center"/>
        <w:rPr>
          <w:rFonts w:ascii="Times New Roman" w:eastAsia="Calibri" w:hAnsi="Times New Roman" w:cs="Times New Roman"/>
          <w:color w:val="000000"/>
          <w:sz w:val="28"/>
          <w:szCs w:val="28"/>
          <w:lang w:val="en-IN"/>
        </w:rPr>
      </w:pPr>
      <w:r w:rsidRPr="00704628">
        <w:rPr>
          <w:rFonts w:ascii="Times New Roman" w:eastAsia="Calibri" w:hAnsi="Times New Roman" w:cs="Times New Roman"/>
          <w:color w:val="000000"/>
          <w:sz w:val="28"/>
          <w:szCs w:val="28"/>
          <w:lang w:val="en-IN"/>
        </w:rPr>
        <w:t>4</w:t>
      </w:r>
      <w:r w:rsidRPr="00704628">
        <w:rPr>
          <w:rFonts w:ascii="Times New Roman" w:eastAsia="Calibri" w:hAnsi="Times New Roman" w:cs="Times New Roman"/>
          <w:color w:val="000000"/>
          <w:sz w:val="28"/>
          <w:szCs w:val="28"/>
          <w:vertAlign w:val="superscript"/>
          <w:lang w:val="en-IN"/>
        </w:rPr>
        <w:t>TH</w:t>
      </w:r>
      <w:r w:rsidRPr="00704628">
        <w:rPr>
          <w:rFonts w:ascii="Times New Roman" w:eastAsia="Calibri" w:hAnsi="Times New Roman" w:cs="Times New Roman"/>
          <w:color w:val="000000"/>
          <w:sz w:val="28"/>
          <w:szCs w:val="28"/>
          <w:lang w:val="en-IN"/>
        </w:rPr>
        <w:t xml:space="preserve"> YEAR,</w:t>
      </w:r>
    </w:p>
    <w:p w:rsidR="009C73D0" w:rsidRPr="00704628" w:rsidRDefault="009C73D0" w:rsidP="009C73D0">
      <w:pPr>
        <w:autoSpaceDE w:val="0"/>
        <w:autoSpaceDN w:val="0"/>
        <w:adjustRightInd w:val="0"/>
        <w:spacing w:after="0" w:line="360" w:lineRule="auto"/>
        <w:ind w:left="720"/>
        <w:jc w:val="center"/>
        <w:rPr>
          <w:rFonts w:ascii="Times New Roman" w:eastAsia="Calibri" w:hAnsi="Times New Roman" w:cs="Times New Roman"/>
          <w:color w:val="000000"/>
          <w:sz w:val="28"/>
          <w:szCs w:val="28"/>
          <w:lang w:val="en-IN"/>
        </w:rPr>
      </w:pPr>
      <w:r w:rsidRPr="00704628">
        <w:rPr>
          <w:rFonts w:ascii="Times New Roman" w:eastAsia="Calibri" w:hAnsi="Times New Roman" w:cs="Times New Roman"/>
          <w:color w:val="000000"/>
          <w:sz w:val="28"/>
          <w:szCs w:val="28"/>
          <w:lang w:val="en-IN"/>
        </w:rPr>
        <w:t>SOA NATIONAL INSTITUTE OF LAW,</w:t>
      </w:r>
    </w:p>
    <w:p w:rsidR="009C73D0" w:rsidRPr="00704628" w:rsidRDefault="009C73D0" w:rsidP="009C73D0">
      <w:pPr>
        <w:spacing w:after="0" w:line="360" w:lineRule="auto"/>
        <w:ind w:left="720"/>
        <w:contextualSpacing/>
        <w:jc w:val="center"/>
        <w:rPr>
          <w:rFonts w:ascii="Times New Roman" w:eastAsia="Calibri" w:hAnsi="Times New Roman" w:cs="Times New Roman"/>
          <w:sz w:val="28"/>
          <w:szCs w:val="28"/>
          <w:lang w:val="en-IN"/>
        </w:rPr>
      </w:pPr>
      <w:r w:rsidRPr="00704628">
        <w:rPr>
          <w:rFonts w:ascii="Times New Roman" w:eastAsia="Calibri" w:hAnsi="Times New Roman" w:cs="Times New Roman"/>
          <w:sz w:val="28"/>
          <w:szCs w:val="28"/>
          <w:lang w:val="en-IN"/>
        </w:rPr>
        <w:t>BHUBANESWAR</w:t>
      </w:r>
    </w:p>
    <w:p w:rsidR="009C73D0" w:rsidRPr="00704628" w:rsidRDefault="009C73D0" w:rsidP="009C73D0">
      <w:pPr>
        <w:spacing w:after="0" w:line="360" w:lineRule="auto"/>
        <w:ind w:left="720"/>
        <w:contextualSpacing/>
        <w:jc w:val="center"/>
        <w:rPr>
          <w:rFonts w:ascii="Times New Roman" w:eastAsia="Calibri" w:hAnsi="Times New Roman" w:cs="Times New Roman"/>
          <w:sz w:val="28"/>
          <w:szCs w:val="28"/>
          <w:lang w:val="en-IN"/>
        </w:rPr>
      </w:pPr>
      <w:r w:rsidRPr="00704628">
        <w:rPr>
          <w:rFonts w:ascii="Times New Roman" w:eastAsia="Calibri" w:hAnsi="Times New Roman" w:cs="Times New Roman"/>
          <w:sz w:val="28"/>
          <w:szCs w:val="28"/>
          <w:lang w:val="en-IN"/>
        </w:rPr>
        <w:t>Mob-8763054332</w:t>
      </w:r>
    </w:p>
    <w:p w:rsidR="009C73D0" w:rsidRPr="00704628" w:rsidRDefault="00704628" w:rsidP="009C73D0">
      <w:pPr>
        <w:spacing w:after="0" w:line="360" w:lineRule="auto"/>
        <w:ind w:left="720"/>
        <w:contextualSpacing/>
        <w:jc w:val="center"/>
        <w:rPr>
          <w:rFonts w:ascii="Times New Roman" w:eastAsia="Calibri" w:hAnsi="Times New Roman" w:cs="Times New Roman"/>
          <w:sz w:val="28"/>
          <w:szCs w:val="28"/>
          <w:lang w:val="en-IN"/>
        </w:rPr>
      </w:pPr>
      <w:r w:rsidRPr="00704628">
        <w:rPr>
          <w:rFonts w:ascii="Times New Roman" w:eastAsia="Calibri" w:hAnsi="Times New Roman" w:cs="Times New Roman"/>
          <w:sz w:val="28"/>
          <w:szCs w:val="28"/>
          <w:lang w:val="en-IN"/>
        </w:rPr>
        <w:t>E</w:t>
      </w:r>
      <w:r w:rsidR="009C73D0" w:rsidRPr="00704628">
        <w:rPr>
          <w:rFonts w:ascii="Times New Roman" w:eastAsia="Calibri" w:hAnsi="Times New Roman" w:cs="Times New Roman"/>
          <w:sz w:val="28"/>
          <w:szCs w:val="28"/>
          <w:lang w:val="en-IN"/>
        </w:rPr>
        <w:t>mail-anwesha.ashi1997@gmail.com</w:t>
      </w:r>
    </w:p>
    <w:p w:rsidR="009C73D0" w:rsidRPr="009C73D0" w:rsidRDefault="009C73D0" w:rsidP="009C73D0">
      <w:pPr>
        <w:spacing w:after="0" w:line="360" w:lineRule="auto"/>
        <w:jc w:val="center"/>
        <w:rPr>
          <w:rFonts w:ascii="Calibri" w:eastAsia="Calibri" w:hAnsi="Calibri" w:cs="Times New Roman"/>
          <w:lang w:val="en-IN"/>
        </w:rPr>
      </w:pPr>
    </w:p>
    <w:p w:rsidR="009C73D0" w:rsidRPr="009C73D0" w:rsidRDefault="009C73D0" w:rsidP="009C73D0">
      <w:pPr>
        <w:spacing w:after="0" w:line="360" w:lineRule="auto"/>
        <w:jc w:val="center"/>
        <w:rPr>
          <w:rFonts w:ascii="Calibri" w:eastAsia="Calibri" w:hAnsi="Calibri" w:cs="Times New Roman"/>
          <w:lang w:val="en-IN"/>
        </w:rPr>
      </w:pPr>
      <w:r w:rsidRPr="009C73D0">
        <w:rPr>
          <w:rFonts w:ascii="Calibri" w:eastAsia="Calibri" w:hAnsi="Calibri" w:cs="Times New Roman"/>
          <w:noProof/>
          <w:lang w:val="en-IN" w:eastAsia="en-IN"/>
        </w:rPr>
        <w:drawing>
          <wp:inline distT="0" distB="0" distL="0" distR="0">
            <wp:extent cx="1905000" cy="2066925"/>
            <wp:effectExtent l="0" t="0" r="0" b="9525"/>
            <wp:docPr id="1"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9C73D0" w:rsidRPr="009C73D0" w:rsidRDefault="009C73D0" w:rsidP="009C73D0">
      <w:pPr>
        <w:spacing w:after="0" w:line="360" w:lineRule="auto"/>
        <w:jc w:val="center"/>
        <w:rPr>
          <w:rFonts w:ascii="Calibri" w:eastAsia="Calibri" w:hAnsi="Calibri" w:cs="Times New Roman"/>
          <w:lang w:val="en-IN"/>
        </w:rPr>
      </w:pPr>
    </w:p>
    <w:p w:rsidR="00322562" w:rsidRDefault="009C73D0" w:rsidP="00322562">
      <w:pPr>
        <w:spacing w:after="0" w:line="360" w:lineRule="auto"/>
        <w:jc w:val="center"/>
        <w:rPr>
          <w:rFonts w:ascii="Times New Roman" w:eastAsia="Calibri" w:hAnsi="Times New Roman" w:cs="Times New Roman"/>
          <w:b/>
          <w:sz w:val="28"/>
          <w:szCs w:val="28"/>
          <w:lang w:val="en-IN"/>
        </w:rPr>
      </w:pPr>
      <w:r w:rsidRPr="009C73D0">
        <w:rPr>
          <w:rFonts w:ascii="Times New Roman" w:eastAsia="Calibri" w:hAnsi="Times New Roman" w:cs="Times New Roman"/>
          <w:b/>
          <w:sz w:val="28"/>
          <w:szCs w:val="28"/>
          <w:lang w:val="en-IN"/>
        </w:rPr>
        <w:t>16</w:t>
      </w:r>
      <w:r w:rsidRPr="009C73D0">
        <w:rPr>
          <w:rFonts w:ascii="Times New Roman" w:eastAsia="Calibri" w:hAnsi="Times New Roman" w:cs="Times New Roman"/>
          <w:b/>
          <w:sz w:val="28"/>
          <w:szCs w:val="28"/>
          <w:vertAlign w:val="superscript"/>
          <w:lang w:val="en-IN"/>
        </w:rPr>
        <w:t>th</w:t>
      </w:r>
      <w:r w:rsidRPr="009C73D0">
        <w:rPr>
          <w:rFonts w:ascii="Times New Roman" w:eastAsia="Calibri" w:hAnsi="Times New Roman" w:cs="Times New Roman"/>
          <w:b/>
          <w:sz w:val="28"/>
          <w:szCs w:val="28"/>
          <w:lang w:val="en-IN"/>
        </w:rPr>
        <w:t xml:space="preserve"> APRIL 2020</w:t>
      </w:r>
    </w:p>
    <w:p w:rsidR="009C73D0" w:rsidRPr="00FA0B30" w:rsidRDefault="00FA0B30" w:rsidP="00FA0B30">
      <w:pPr>
        <w:spacing w:after="0" w:line="360" w:lineRule="auto"/>
        <w:rPr>
          <w:rFonts w:ascii="Times New Roman" w:eastAsia="Calibri" w:hAnsi="Times New Roman" w:cs="Times New Roman"/>
          <w:b/>
          <w:sz w:val="32"/>
          <w:szCs w:val="32"/>
          <w:lang w:val="en-IN"/>
        </w:rPr>
      </w:pPr>
      <w:r w:rsidRPr="00FA0B30">
        <w:rPr>
          <w:rFonts w:ascii="Times New Roman" w:hAnsi="Times New Roman" w:cs="Times New Roman"/>
          <w:b/>
          <w:sz w:val="28"/>
          <w:szCs w:val="28"/>
        </w:rPr>
        <w:lastRenderedPageBreak/>
        <w:t>Background of the case</w:t>
      </w:r>
    </w:p>
    <w:p w:rsidR="007761BD" w:rsidRDefault="007761BD" w:rsidP="007761BD">
      <w:pPr>
        <w:jc w:val="both"/>
        <w:rPr>
          <w:rFonts w:ascii="Times New Roman" w:hAnsi="Times New Roman" w:cs="Times New Roman"/>
          <w:sz w:val="24"/>
          <w:szCs w:val="24"/>
        </w:rPr>
      </w:pPr>
      <w:r>
        <w:rPr>
          <w:rFonts w:ascii="Times New Roman" w:hAnsi="Times New Roman" w:cs="Times New Roman"/>
          <w:sz w:val="24"/>
          <w:szCs w:val="24"/>
        </w:rPr>
        <w:t xml:space="preserve">For a long time, there had been a quest for disburdening the </w:t>
      </w:r>
      <w:r w:rsidR="00BA1795">
        <w:rPr>
          <w:rFonts w:ascii="Times New Roman" w:hAnsi="Times New Roman" w:cs="Times New Roman"/>
          <w:sz w:val="24"/>
          <w:szCs w:val="24"/>
        </w:rPr>
        <w:t>l</w:t>
      </w:r>
      <w:r>
        <w:rPr>
          <w:rFonts w:ascii="Times New Roman" w:hAnsi="Times New Roman" w:cs="Times New Roman"/>
          <w:sz w:val="24"/>
          <w:szCs w:val="24"/>
        </w:rPr>
        <w:t xml:space="preserve">egal systems from the </w:t>
      </w:r>
      <w:r w:rsidR="0085617E">
        <w:rPr>
          <w:rFonts w:ascii="Times New Roman" w:hAnsi="Times New Roman" w:cs="Times New Roman"/>
          <w:sz w:val="24"/>
          <w:szCs w:val="24"/>
        </w:rPr>
        <w:t>immense</w:t>
      </w:r>
      <w:r>
        <w:rPr>
          <w:rFonts w:ascii="Times New Roman" w:hAnsi="Times New Roman" w:cs="Times New Roman"/>
          <w:sz w:val="24"/>
          <w:szCs w:val="24"/>
        </w:rPr>
        <w:t xml:space="preserve"> burden of service </w:t>
      </w:r>
      <w:r w:rsidR="0085617E">
        <w:rPr>
          <w:rFonts w:ascii="Times New Roman" w:hAnsi="Times New Roman" w:cs="Times New Roman"/>
          <w:sz w:val="24"/>
          <w:szCs w:val="24"/>
        </w:rPr>
        <w:t>litigation, which</w:t>
      </w:r>
      <w:r>
        <w:rPr>
          <w:rFonts w:ascii="Times New Roman" w:hAnsi="Times New Roman" w:cs="Times New Roman"/>
          <w:sz w:val="24"/>
          <w:szCs w:val="24"/>
        </w:rPr>
        <w:t xml:space="preserve"> formed a substantial portion of all pending litigations.</w:t>
      </w:r>
      <w:r w:rsidR="00BA1795">
        <w:rPr>
          <w:rFonts w:ascii="Times New Roman" w:hAnsi="Times New Roman" w:cs="Times New Roman"/>
          <w:sz w:val="24"/>
          <w:szCs w:val="24"/>
        </w:rPr>
        <w:t xml:space="preserve"> It has a matter of </w:t>
      </w:r>
      <w:r w:rsidR="0085617E">
        <w:rPr>
          <w:rFonts w:ascii="Times New Roman" w:hAnsi="Times New Roman" w:cs="Times New Roman"/>
          <w:sz w:val="24"/>
          <w:szCs w:val="24"/>
        </w:rPr>
        <w:t>concern,</w:t>
      </w:r>
      <w:r w:rsidR="00BA1795">
        <w:rPr>
          <w:rFonts w:ascii="Times New Roman" w:hAnsi="Times New Roman" w:cs="Times New Roman"/>
          <w:sz w:val="24"/>
          <w:szCs w:val="24"/>
        </w:rPr>
        <w:t xml:space="preserve"> as they were tedious and costly, both of the legal system as well as the parties.</w:t>
      </w:r>
      <w:r w:rsidR="003E24D3">
        <w:rPr>
          <w:rFonts w:ascii="Times New Roman" w:hAnsi="Times New Roman" w:cs="Times New Roman"/>
          <w:sz w:val="24"/>
          <w:szCs w:val="24"/>
        </w:rPr>
        <w:t xml:space="preserve">It was aimed </w:t>
      </w:r>
      <w:r w:rsidR="00BA0E02">
        <w:rPr>
          <w:rFonts w:ascii="Times New Roman" w:hAnsi="Times New Roman" w:cs="Times New Roman"/>
          <w:sz w:val="24"/>
          <w:szCs w:val="24"/>
        </w:rPr>
        <w:t>that the Courts will</w:t>
      </w:r>
      <w:r w:rsidR="003E24D3" w:rsidRPr="003E24D3">
        <w:rPr>
          <w:rFonts w:ascii="Times New Roman" w:hAnsi="Times New Roman" w:cs="Times New Roman"/>
          <w:sz w:val="24"/>
          <w:szCs w:val="24"/>
        </w:rPr>
        <w:t xml:space="preserve"> more time to </w:t>
      </w:r>
      <w:r w:rsidR="00BA0E02">
        <w:rPr>
          <w:rFonts w:ascii="Times New Roman" w:hAnsi="Times New Roman" w:cs="Times New Roman"/>
          <w:sz w:val="24"/>
          <w:szCs w:val="24"/>
        </w:rPr>
        <w:t>adjudicate</w:t>
      </w:r>
      <w:r w:rsidR="003E24D3" w:rsidRPr="003E24D3">
        <w:rPr>
          <w:rFonts w:ascii="Times New Roman" w:hAnsi="Times New Roman" w:cs="Times New Roman"/>
          <w:sz w:val="24"/>
          <w:szCs w:val="24"/>
        </w:rPr>
        <w:t xml:space="preserve"> other cases expeditiously</w:t>
      </w:r>
      <w:r w:rsidR="00BA0E02">
        <w:rPr>
          <w:rFonts w:ascii="Times New Roman" w:hAnsi="Times New Roman" w:cs="Times New Roman"/>
          <w:sz w:val="24"/>
          <w:szCs w:val="24"/>
        </w:rPr>
        <w:t>.</w:t>
      </w:r>
      <w:r w:rsidR="0085617E">
        <w:rPr>
          <w:rFonts w:ascii="Times New Roman" w:hAnsi="Times New Roman" w:cs="Times New Roman"/>
          <w:sz w:val="24"/>
          <w:szCs w:val="24"/>
        </w:rPr>
        <w:t>Committees</w:t>
      </w:r>
      <w:r>
        <w:rPr>
          <w:rFonts w:ascii="Times New Roman" w:hAnsi="Times New Roman" w:cs="Times New Roman"/>
          <w:sz w:val="24"/>
          <w:szCs w:val="24"/>
        </w:rPr>
        <w:t xml:space="preserve"> like Swarn Singh Committee (1975) and Administrative Reform Commission (1969) and the Apex Court in the case of </w:t>
      </w:r>
      <w:r w:rsidR="00BA1795" w:rsidRPr="00F922FD">
        <w:rPr>
          <w:rFonts w:ascii="Times New Roman" w:hAnsi="Times New Roman" w:cs="Times New Roman"/>
          <w:b/>
          <w:sz w:val="24"/>
          <w:szCs w:val="24"/>
        </w:rPr>
        <w:t xml:space="preserve">K.K. Dutta v. </w:t>
      </w:r>
      <w:r w:rsidR="000A1C98">
        <w:rPr>
          <w:rFonts w:ascii="Times New Roman" w:hAnsi="Times New Roman" w:cs="Times New Roman"/>
          <w:b/>
          <w:sz w:val="24"/>
          <w:szCs w:val="24"/>
        </w:rPr>
        <w:t>Union of India</w:t>
      </w:r>
      <w:r w:rsidR="00F922FD">
        <w:rPr>
          <w:rStyle w:val="FootnoteReference"/>
          <w:rFonts w:ascii="Times New Roman" w:hAnsi="Times New Roman" w:cs="Times New Roman"/>
          <w:sz w:val="24"/>
          <w:szCs w:val="24"/>
        </w:rPr>
        <w:footnoteReference w:id="2"/>
      </w:r>
      <w:r w:rsidR="00BA1795">
        <w:rPr>
          <w:rFonts w:ascii="Times New Roman" w:hAnsi="Times New Roman" w:cs="Times New Roman"/>
          <w:sz w:val="24"/>
          <w:szCs w:val="24"/>
        </w:rPr>
        <w:t xml:space="preserve">, </w:t>
      </w:r>
      <w:r w:rsidR="0085617E">
        <w:rPr>
          <w:rFonts w:ascii="Times New Roman" w:hAnsi="Times New Roman" w:cs="Times New Roman"/>
          <w:sz w:val="24"/>
          <w:szCs w:val="24"/>
        </w:rPr>
        <w:t>advised</w:t>
      </w:r>
      <w:r w:rsidR="00BA1795">
        <w:rPr>
          <w:rFonts w:ascii="Times New Roman" w:hAnsi="Times New Roman" w:cs="Times New Roman"/>
          <w:sz w:val="24"/>
          <w:szCs w:val="24"/>
        </w:rPr>
        <w:t xml:space="preserve"> that administrative or service tribunals must be established in order to protect the legal system from the avalanche of writs and appeals in the service matters. The Parliament passed the Constitution (42</w:t>
      </w:r>
      <w:r w:rsidR="00BA1795" w:rsidRPr="00BA1795">
        <w:rPr>
          <w:rFonts w:ascii="Times New Roman" w:hAnsi="Times New Roman" w:cs="Times New Roman"/>
          <w:sz w:val="24"/>
          <w:szCs w:val="24"/>
          <w:vertAlign w:val="superscript"/>
        </w:rPr>
        <w:t>nd</w:t>
      </w:r>
      <w:r w:rsidR="00BA1795">
        <w:rPr>
          <w:rFonts w:ascii="Times New Roman" w:hAnsi="Times New Roman" w:cs="Times New Roman"/>
          <w:sz w:val="24"/>
          <w:szCs w:val="24"/>
        </w:rPr>
        <w:t xml:space="preserve"> Amendment) Act, 1976,</w:t>
      </w:r>
      <w:r w:rsidR="003E24D3">
        <w:rPr>
          <w:rFonts w:ascii="Times New Roman" w:hAnsi="Times New Roman" w:cs="Times New Roman"/>
          <w:sz w:val="24"/>
          <w:szCs w:val="24"/>
        </w:rPr>
        <w:t xml:space="preserve"> with effect from March 1, 1977,</w:t>
      </w:r>
      <w:r w:rsidR="00BA1795">
        <w:rPr>
          <w:rFonts w:ascii="Times New Roman" w:hAnsi="Times New Roman" w:cs="Times New Roman"/>
          <w:sz w:val="24"/>
          <w:szCs w:val="24"/>
        </w:rPr>
        <w:t xml:space="preserve"> that added a Part – 14A to the same</w:t>
      </w:r>
      <w:r w:rsidR="003E24D3">
        <w:rPr>
          <w:rFonts w:ascii="Times New Roman" w:hAnsi="Times New Roman" w:cs="Times New Roman"/>
          <w:sz w:val="24"/>
          <w:szCs w:val="24"/>
        </w:rPr>
        <w:t>, through Section 46</w:t>
      </w:r>
      <w:r w:rsidR="00BA1795">
        <w:rPr>
          <w:rFonts w:ascii="Times New Roman" w:hAnsi="Times New Roman" w:cs="Times New Roman"/>
          <w:sz w:val="24"/>
          <w:szCs w:val="24"/>
        </w:rPr>
        <w:t>. This Part titled as “Tribunals” and c</w:t>
      </w:r>
      <w:r w:rsidR="00212646">
        <w:rPr>
          <w:rFonts w:ascii="Times New Roman" w:hAnsi="Times New Roman" w:cs="Times New Roman"/>
          <w:sz w:val="24"/>
          <w:szCs w:val="24"/>
        </w:rPr>
        <w:t>onsisting of two articles namely, Article 323-a and Art</w:t>
      </w:r>
      <w:r w:rsidR="005D51D8">
        <w:rPr>
          <w:rFonts w:ascii="Times New Roman" w:hAnsi="Times New Roman" w:cs="Times New Roman"/>
          <w:sz w:val="24"/>
          <w:szCs w:val="24"/>
        </w:rPr>
        <w:t xml:space="preserve">icle 323-b. </w:t>
      </w:r>
      <w:r w:rsidR="005D51D8" w:rsidRPr="005D51D8">
        <w:rPr>
          <w:rFonts w:ascii="Times New Roman" w:hAnsi="Times New Roman" w:cs="Times New Roman"/>
          <w:sz w:val="24"/>
          <w:szCs w:val="24"/>
        </w:rPr>
        <w:t>Article 323-a</w:t>
      </w:r>
      <w:r w:rsidR="005D51D8">
        <w:rPr>
          <w:rFonts w:ascii="Times New Roman" w:hAnsi="Times New Roman" w:cs="Times New Roman"/>
          <w:sz w:val="24"/>
          <w:szCs w:val="24"/>
        </w:rPr>
        <w:t xml:space="preserve"> dealt with dealing with administrative tribunals and</w:t>
      </w:r>
      <w:r w:rsidR="005D51D8" w:rsidRPr="005D51D8">
        <w:rPr>
          <w:rFonts w:ascii="Times New Roman" w:hAnsi="Times New Roman" w:cs="Times New Roman"/>
          <w:sz w:val="24"/>
          <w:szCs w:val="24"/>
        </w:rPr>
        <w:t>Article 323-b</w:t>
      </w:r>
      <w:r w:rsidR="005D51D8">
        <w:rPr>
          <w:rFonts w:ascii="Times New Roman" w:hAnsi="Times New Roman" w:cs="Times New Roman"/>
          <w:sz w:val="24"/>
          <w:szCs w:val="24"/>
        </w:rPr>
        <w:t xml:space="preserve"> dealt with tribunals for other matters.</w:t>
      </w:r>
    </w:p>
    <w:p w:rsidR="003E24D3" w:rsidRDefault="005D51D8" w:rsidP="005D51D8">
      <w:pPr>
        <w:jc w:val="both"/>
        <w:rPr>
          <w:color w:val="000000"/>
          <w:sz w:val="25"/>
          <w:szCs w:val="25"/>
          <w:shd w:val="clear" w:color="auto" w:fill="FFFFFF"/>
        </w:rPr>
      </w:pPr>
      <w:r>
        <w:rPr>
          <w:rFonts w:ascii="Times New Roman" w:hAnsi="Times New Roman" w:cs="Times New Roman"/>
          <w:sz w:val="24"/>
          <w:szCs w:val="24"/>
        </w:rPr>
        <w:t xml:space="preserve">Numerous Special Leave Petitions, writs and civil </w:t>
      </w:r>
      <w:r w:rsidR="0085617E">
        <w:rPr>
          <w:rFonts w:ascii="Times New Roman" w:hAnsi="Times New Roman" w:cs="Times New Roman"/>
          <w:sz w:val="24"/>
          <w:szCs w:val="24"/>
        </w:rPr>
        <w:t>appeals were</w:t>
      </w:r>
      <w:r>
        <w:rPr>
          <w:rFonts w:ascii="Times New Roman" w:hAnsi="Times New Roman" w:cs="Times New Roman"/>
          <w:sz w:val="24"/>
          <w:szCs w:val="24"/>
        </w:rPr>
        <w:t xml:space="preserve"> filed which formed an array of matter bought before the Apex Court, owing to separate decisions of several High Courts and different provisions and enactments, hereby raising a number of questions of law, which were merged together in </w:t>
      </w:r>
      <w:r w:rsidR="001C7A8B">
        <w:rPr>
          <w:rFonts w:ascii="Times New Roman" w:hAnsi="Times New Roman" w:cs="Times New Roman"/>
          <w:sz w:val="24"/>
          <w:szCs w:val="24"/>
        </w:rPr>
        <w:t>“</w:t>
      </w:r>
      <w:r w:rsidRPr="001C7A8B">
        <w:rPr>
          <w:rFonts w:ascii="Times New Roman" w:hAnsi="Times New Roman" w:cs="Times New Roman"/>
          <w:b/>
          <w:sz w:val="24"/>
          <w:szCs w:val="24"/>
        </w:rPr>
        <w:t>L. C</w:t>
      </w:r>
      <w:r w:rsidR="001C7A8B" w:rsidRPr="001C7A8B">
        <w:rPr>
          <w:rFonts w:ascii="Times New Roman" w:hAnsi="Times New Roman" w:cs="Times New Roman"/>
          <w:b/>
          <w:sz w:val="24"/>
          <w:szCs w:val="24"/>
        </w:rPr>
        <w:t>.</w:t>
      </w:r>
      <w:r w:rsidRPr="001C7A8B">
        <w:rPr>
          <w:rFonts w:ascii="Times New Roman" w:hAnsi="Times New Roman" w:cs="Times New Roman"/>
          <w:b/>
          <w:sz w:val="24"/>
          <w:szCs w:val="24"/>
        </w:rPr>
        <w:t xml:space="preserve"> Kumar v</w:t>
      </w:r>
      <w:r w:rsidR="001C7A8B" w:rsidRPr="001C7A8B">
        <w:rPr>
          <w:rFonts w:ascii="Times New Roman" w:hAnsi="Times New Roman" w:cs="Times New Roman"/>
          <w:b/>
          <w:sz w:val="24"/>
          <w:szCs w:val="24"/>
        </w:rPr>
        <w:t>.</w:t>
      </w:r>
      <w:r w:rsidR="000A1C98">
        <w:rPr>
          <w:rFonts w:ascii="Times New Roman" w:hAnsi="Times New Roman" w:cs="Times New Roman"/>
          <w:b/>
          <w:sz w:val="24"/>
          <w:szCs w:val="24"/>
        </w:rPr>
        <w:t>Union of India</w:t>
      </w:r>
      <w:r w:rsidR="001C7A8B">
        <w:rPr>
          <w:rStyle w:val="FootnoteReference"/>
          <w:rFonts w:ascii="Times New Roman" w:hAnsi="Times New Roman" w:cs="Times New Roman"/>
          <w:sz w:val="24"/>
          <w:szCs w:val="24"/>
        </w:rPr>
        <w:t>”</w:t>
      </w:r>
      <w:r w:rsidR="001C7A8B">
        <w:rPr>
          <w:rStyle w:val="FootnoteReference"/>
          <w:rFonts w:ascii="Times New Roman" w:hAnsi="Times New Roman" w:cs="Times New Roman"/>
          <w:sz w:val="24"/>
          <w:szCs w:val="24"/>
        </w:rPr>
        <w:footnoteReference w:id="3"/>
      </w:r>
      <w:r w:rsidR="001C7A8B">
        <w:rPr>
          <w:rFonts w:ascii="Times New Roman" w:hAnsi="Times New Roman" w:cs="Times New Roman"/>
          <w:sz w:val="24"/>
          <w:szCs w:val="24"/>
        </w:rPr>
        <w:t xml:space="preserve"> for the purpose of proper adjudication.</w:t>
      </w:r>
      <w:r w:rsidR="00367E14" w:rsidRPr="00367E14">
        <w:rPr>
          <w:rFonts w:ascii="Times New Roman" w:hAnsi="Times New Roman" w:cs="Times New Roman"/>
          <w:color w:val="000000"/>
          <w:sz w:val="24"/>
          <w:szCs w:val="25"/>
          <w:shd w:val="clear" w:color="auto" w:fill="FFFFFF"/>
        </w:rPr>
        <w:t xml:space="preserve">The </w:t>
      </w:r>
      <w:r w:rsidR="00367E14">
        <w:rPr>
          <w:rFonts w:ascii="Times New Roman" w:hAnsi="Times New Roman" w:cs="Times New Roman"/>
          <w:color w:val="000000"/>
          <w:sz w:val="24"/>
          <w:szCs w:val="25"/>
          <w:shd w:val="clear" w:color="auto" w:fill="FFFFFF"/>
        </w:rPr>
        <w:t xml:space="preserve">questions were </w:t>
      </w:r>
      <w:r w:rsidR="00204181">
        <w:rPr>
          <w:rFonts w:ascii="Times New Roman" w:hAnsi="Times New Roman" w:cs="Times New Roman"/>
          <w:color w:val="000000"/>
          <w:sz w:val="24"/>
          <w:szCs w:val="25"/>
          <w:shd w:val="clear" w:color="auto" w:fill="FFFFFF"/>
        </w:rPr>
        <w:t>mainly</w:t>
      </w:r>
      <w:r w:rsidR="00367E14">
        <w:rPr>
          <w:rFonts w:ascii="Times New Roman" w:hAnsi="Times New Roman" w:cs="Times New Roman"/>
          <w:color w:val="000000"/>
          <w:sz w:val="24"/>
          <w:szCs w:val="25"/>
          <w:shd w:val="clear" w:color="auto" w:fill="FFFFFF"/>
        </w:rPr>
        <w:t xml:space="preserve"> based on the constitutionality of </w:t>
      </w:r>
      <w:r w:rsidR="00367E14" w:rsidRPr="00367E14">
        <w:rPr>
          <w:rFonts w:ascii="Times New Roman" w:hAnsi="Times New Roman" w:cs="Times New Roman"/>
          <w:color w:val="000000"/>
          <w:sz w:val="24"/>
          <w:szCs w:val="25"/>
          <w:shd w:val="clear" w:color="auto" w:fill="FFFFFF"/>
        </w:rPr>
        <w:t xml:space="preserve">in Article 323A (1) </w:t>
      </w:r>
      <w:r w:rsidR="00367E14">
        <w:rPr>
          <w:rFonts w:ascii="Times New Roman" w:hAnsi="Times New Roman" w:cs="Times New Roman"/>
          <w:color w:val="000000"/>
          <w:sz w:val="24"/>
          <w:szCs w:val="25"/>
          <w:shd w:val="clear" w:color="auto" w:fill="FFFFFF"/>
        </w:rPr>
        <w:t>and</w:t>
      </w:r>
      <w:r w:rsidR="00367E14" w:rsidRPr="00367E14">
        <w:rPr>
          <w:rFonts w:ascii="Times New Roman" w:hAnsi="Times New Roman" w:cs="Times New Roman"/>
          <w:color w:val="000000"/>
          <w:sz w:val="24"/>
          <w:szCs w:val="25"/>
          <w:shd w:val="clear" w:color="auto" w:fill="FFFFFF"/>
        </w:rPr>
        <w:t xml:space="preserve"> Article 323B (2),</w:t>
      </w:r>
      <w:r w:rsidR="00367E14">
        <w:rPr>
          <w:rFonts w:ascii="Times New Roman" w:hAnsi="Times New Roman" w:cs="Times New Roman"/>
          <w:color w:val="000000"/>
          <w:sz w:val="24"/>
          <w:szCs w:val="25"/>
          <w:shd w:val="clear" w:color="auto" w:fill="FFFFFF"/>
        </w:rPr>
        <w:t xml:space="preserve"> and whether the Tribunals constituted under Part 14 of the Constitution of India is an effective substitute of the existing High </w:t>
      </w:r>
      <w:r w:rsidR="00204181">
        <w:rPr>
          <w:rFonts w:ascii="Times New Roman" w:hAnsi="Times New Roman" w:cs="Times New Roman"/>
          <w:color w:val="000000"/>
          <w:sz w:val="24"/>
          <w:szCs w:val="25"/>
          <w:shd w:val="clear" w:color="auto" w:fill="FFFFFF"/>
        </w:rPr>
        <w:t>Courts</w:t>
      </w:r>
      <w:r w:rsidR="00367E14">
        <w:rPr>
          <w:rFonts w:ascii="Times New Roman" w:hAnsi="Times New Roman" w:cs="Times New Roman"/>
          <w:color w:val="000000"/>
          <w:sz w:val="24"/>
          <w:szCs w:val="25"/>
          <w:shd w:val="clear" w:color="auto" w:fill="FFFFFF"/>
        </w:rPr>
        <w:t xml:space="preserve"> and the Supreme Court.</w:t>
      </w:r>
    </w:p>
    <w:p w:rsidR="004E7282" w:rsidRDefault="003E24D3" w:rsidP="005D51D8">
      <w:pPr>
        <w:jc w:val="both"/>
        <w:rPr>
          <w:rFonts w:ascii="Times New Roman" w:hAnsi="Times New Roman" w:cs="Times New Roman"/>
          <w:sz w:val="24"/>
          <w:szCs w:val="24"/>
        </w:rPr>
      </w:pPr>
      <w:r w:rsidRPr="003E24D3">
        <w:rPr>
          <w:rFonts w:ascii="Times New Roman" w:hAnsi="Times New Roman" w:cs="Times New Roman"/>
          <w:sz w:val="24"/>
          <w:szCs w:val="24"/>
        </w:rPr>
        <w:t>The present controversy has been referred to us by an o</w:t>
      </w:r>
      <w:r>
        <w:rPr>
          <w:rFonts w:ascii="Times New Roman" w:hAnsi="Times New Roman" w:cs="Times New Roman"/>
          <w:sz w:val="24"/>
          <w:szCs w:val="24"/>
        </w:rPr>
        <w:t>rder of a Division Bench of the Supreme</w:t>
      </w:r>
      <w:r w:rsidRPr="003E24D3">
        <w:rPr>
          <w:rFonts w:ascii="Times New Roman" w:hAnsi="Times New Roman" w:cs="Times New Roman"/>
          <w:sz w:val="24"/>
          <w:szCs w:val="24"/>
        </w:rPr>
        <w:t xml:space="preserve"> Court, , which concluded that the decision rendered by a five-Judge Constitution Bench of this Court in </w:t>
      </w:r>
      <w:hyperlink r:id="rId9" w:history="1">
        <w:r w:rsidRPr="00BB25A3">
          <w:rPr>
            <w:rStyle w:val="Hyperlink"/>
            <w:rFonts w:ascii="Times New Roman" w:hAnsi="Times New Roman" w:cs="Times New Roman"/>
            <w:b/>
            <w:color w:val="auto"/>
            <w:sz w:val="24"/>
            <w:szCs w:val="24"/>
            <w:u w:val="none"/>
          </w:rPr>
          <w:t xml:space="preserve">Sampath Kumar v. </w:t>
        </w:r>
        <w:r w:rsidR="000A1C98">
          <w:rPr>
            <w:rStyle w:val="Hyperlink"/>
            <w:rFonts w:ascii="Times New Roman" w:hAnsi="Times New Roman" w:cs="Times New Roman"/>
            <w:b/>
            <w:color w:val="auto"/>
            <w:sz w:val="24"/>
            <w:szCs w:val="24"/>
            <w:u w:val="none"/>
          </w:rPr>
          <w:t xml:space="preserve">Union of </w:t>
        </w:r>
        <w:r w:rsidR="00204181">
          <w:rPr>
            <w:rStyle w:val="Hyperlink"/>
            <w:rFonts w:ascii="Times New Roman" w:hAnsi="Times New Roman" w:cs="Times New Roman"/>
            <w:b/>
            <w:color w:val="auto"/>
            <w:sz w:val="24"/>
            <w:szCs w:val="24"/>
            <w:u w:val="none"/>
          </w:rPr>
          <w:t>India</w:t>
        </w:r>
      </w:hyperlink>
      <w:r>
        <w:rPr>
          <w:rStyle w:val="FootnoteReference"/>
          <w:rFonts w:ascii="Times New Roman" w:hAnsi="Times New Roman" w:cs="Times New Roman"/>
          <w:sz w:val="24"/>
          <w:szCs w:val="24"/>
        </w:rPr>
        <w:footnoteReference w:id="4"/>
      </w:r>
      <w:r w:rsidRPr="003E24D3">
        <w:rPr>
          <w:rFonts w:ascii="Times New Roman" w:hAnsi="Times New Roman" w:cs="Times New Roman"/>
          <w:sz w:val="24"/>
          <w:szCs w:val="24"/>
        </w:rPr>
        <w:t>, needs to becomprehensively reconsidered. </w:t>
      </w:r>
      <w:r w:rsidR="00BB25A3">
        <w:rPr>
          <w:rFonts w:ascii="Times New Roman" w:hAnsi="Times New Roman" w:cs="Times New Roman"/>
          <w:sz w:val="24"/>
          <w:szCs w:val="24"/>
        </w:rPr>
        <w:t>A</w:t>
      </w:r>
      <w:r w:rsidR="00BB25A3" w:rsidRPr="00BB25A3">
        <w:rPr>
          <w:rFonts w:ascii="Times New Roman" w:hAnsi="Times New Roman" w:cs="Times New Roman"/>
          <w:sz w:val="24"/>
          <w:szCs w:val="24"/>
        </w:rPr>
        <w:t>n interim order</w:t>
      </w:r>
      <w:r w:rsidR="00BB25A3">
        <w:rPr>
          <w:rFonts w:ascii="Times New Roman" w:hAnsi="Times New Roman" w:cs="Times New Roman"/>
          <w:sz w:val="24"/>
          <w:szCs w:val="24"/>
        </w:rPr>
        <w:t>,</w:t>
      </w:r>
      <w:r w:rsidR="00BB25A3" w:rsidRPr="00BB25A3">
        <w:rPr>
          <w:rFonts w:ascii="Times New Roman" w:hAnsi="Times New Roman" w:cs="Times New Roman"/>
          <w:sz w:val="24"/>
          <w:szCs w:val="24"/>
        </w:rPr>
        <w:t xml:space="preserve"> dated October 31, 1985</w:t>
      </w:r>
      <w:r w:rsidR="00BB25A3">
        <w:rPr>
          <w:rFonts w:ascii="Times New Roman" w:hAnsi="Times New Roman" w:cs="Times New Roman"/>
          <w:sz w:val="24"/>
          <w:szCs w:val="24"/>
        </w:rPr>
        <w:t>, was passed by the Apex</w:t>
      </w:r>
      <w:r w:rsidR="00BB25A3" w:rsidRPr="00BB25A3">
        <w:rPr>
          <w:rFonts w:ascii="Times New Roman" w:hAnsi="Times New Roman" w:cs="Times New Roman"/>
          <w:sz w:val="24"/>
          <w:szCs w:val="24"/>
        </w:rPr>
        <w:t xml:space="preserve"> Court </w:t>
      </w:r>
      <w:r w:rsidR="00BB25A3">
        <w:rPr>
          <w:rFonts w:ascii="Times New Roman" w:hAnsi="Times New Roman" w:cs="Times New Roman"/>
          <w:sz w:val="24"/>
          <w:szCs w:val="24"/>
        </w:rPr>
        <w:t>that ordered</w:t>
      </w:r>
      <w:r w:rsidR="00BB25A3" w:rsidRPr="00BB25A3">
        <w:rPr>
          <w:rFonts w:ascii="Times New Roman" w:hAnsi="Times New Roman" w:cs="Times New Roman"/>
          <w:sz w:val="24"/>
          <w:szCs w:val="24"/>
        </w:rPr>
        <w:t xml:space="preserve"> carrying out of certain measures with a view to ensuring the functioning of the Tribunal along </w:t>
      </w:r>
      <w:r w:rsidR="0085617E" w:rsidRPr="00BB25A3">
        <w:rPr>
          <w:rFonts w:ascii="Times New Roman" w:hAnsi="Times New Roman" w:cs="Times New Roman"/>
          <w:sz w:val="24"/>
          <w:szCs w:val="24"/>
        </w:rPr>
        <w:t>constitutionally sound</w:t>
      </w:r>
      <w:r w:rsidR="00BB25A3" w:rsidRPr="00BB25A3">
        <w:rPr>
          <w:rFonts w:ascii="Times New Roman" w:hAnsi="Times New Roman" w:cs="Times New Roman"/>
          <w:sz w:val="24"/>
          <w:szCs w:val="24"/>
        </w:rPr>
        <w:t xml:space="preserve"> principles.</w:t>
      </w:r>
      <w:r w:rsidR="004E7282">
        <w:rPr>
          <w:rFonts w:ascii="Times New Roman" w:hAnsi="Times New Roman" w:cs="Times New Roman"/>
          <w:sz w:val="24"/>
          <w:szCs w:val="24"/>
        </w:rPr>
        <w:t xml:space="preserve"> The issue of constitutionality of Article 323A (2) (d) was never challenged in the said case.</w:t>
      </w:r>
    </w:p>
    <w:p w:rsidR="009D6649" w:rsidRPr="00FA0B30" w:rsidRDefault="00FA0B30" w:rsidP="00FA0B30">
      <w:pPr>
        <w:rPr>
          <w:rFonts w:ascii="Times New Roman" w:hAnsi="Times New Roman" w:cs="Times New Roman"/>
          <w:b/>
          <w:sz w:val="28"/>
          <w:szCs w:val="28"/>
        </w:rPr>
      </w:pPr>
      <w:r w:rsidRPr="00FA0B30">
        <w:rPr>
          <w:rFonts w:ascii="Times New Roman" w:hAnsi="Times New Roman" w:cs="Times New Roman"/>
          <w:b/>
          <w:sz w:val="28"/>
          <w:szCs w:val="28"/>
        </w:rPr>
        <w:t>Delay of Justice</w:t>
      </w:r>
    </w:p>
    <w:p w:rsidR="002C5A3D" w:rsidRDefault="002C5A3D" w:rsidP="009D6649">
      <w:pPr>
        <w:jc w:val="both"/>
        <w:rPr>
          <w:rFonts w:ascii="Times New Roman" w:hAnsi="Times New Roman" w:cs="Times New Roman"/>
          <w:sz w:val="24"/>
          <w:szCs w:val="24"/>
        </w:rPr>
      </w:pPr>
      <w:r>
        <w:rPr>
          <w:rFonts w:ascii="Times New Roman" w:hAnsi="Times New Roman" w:cs="Times New Roman"/>
          <w:sz w:val="24"/>
          <w:szCs w:val="24"/>
        </w:rPr>
        <w:t xml:space="preserve">Justice has much a wider connotation </w:t>
      </w:r>
      <w:r w:rsidR="00955AA5">
        <w:rPr>
          <w:rFonts w:ascii="Times New Roman" w:hAnsi="Times New Roman" w:cs="Times New Roman"/>
          <w:sz w:val="24"/>
          <w:szCs w:val="24"/>
        </w:rPr>
        <w:t>than</w:t>
      </w:r>
      <w:r>
        <w:rPr>
          <w:rFonts w:ascii="Times New Roman" w:hAnsi="Times New Roman" w:cs="Times New Roman"/>
          <w:sz w:val="24"/>
          <w:szCs w:val="24"/>
        </w:rPr>
        <w:t xml:space="preserve"> merely settling </w:t>
      </w:r>
      <w:r w:rsidR="00955AA5">
        <w:rPr>
          <w:rFonts w:ascii="Times New Roman" w:hAnsi="Times New Roman" w:cs="Times New Roman"/>
          <w:sz w:val="24"/>
          <w:szCs w:val="24"/>
        </w:rPr>
        <w:t>a dispute</w:t>
      </w:r>
      <w:r>
        <w:rPr>
          <w:rFonts w:ascii="Times New Roman" w:hAnsi="Times New Roman" w:cs="Times New Roman"/>
          <w:sz w:val="24"/>
          <w:szCs w:val="24"/>
        </w:rPr>
        <w:t xml:space="preserve"> between two persons or </w:t>
      </w:r>
      <w:r w:rsidR="00955AA5">
        <w:rPr>
          <w:rFonts w:ascii="Times New Roman" w:hAnsi="Times New Roman" w:cs="Times New Roman"/>
          <w:sz w:val="24"/>
          <w:szCs w:val="24"/>
        </w:rPr>
        <w:t>determining</w:t>
      </w:r>
      <w:r>
        <w:rPr>
          <w:rFonts w:ascii="Times New Roman" w:hAnsi="Times New Roman" w:cs="Times New Roman"/>
          <w:sz w:val="24"/>
          <w:szCs w:val="24"/>
        </w:rPr>
        <w:t xml:space="preserve"> whether a person is guilty of the crime of which he is accused by the State. </w:t>
      </w:r>
      <w:r w:rsidR="00FD22CC">
        <w:rPr>
          <w:rFonts w:ascii="Times New Roman" w:hAnsi="Times New Roman" w:cs="Times New Roman"/>
          <w:sz w:val="24"/>
          <w:szCs w:val="24"/>
        </w:rPr>
        <w:t xml:space="preserve">Justice, in today’s day and age, and democratic setup, includes ensuring that every citizen gets his aliquot share of social goods and services, and </w:t>
      </w:r>
      <w:r w:rsidR="00FA0B30">
        <w:rPr>
          <w:rFonts w:ascii="Times New Roman" w:hAnsi="Times New Roman" w:cs="Times New Roman"/>
          <w:sz w:val="24"/>
          <w:szCs w:val="24"/>
        </w:rPr>
        <w:t>opportunities</w:t>
      </w:r>
      <w:r w:rsidR="00FD22CC">
        <w:rPr>
          <w:rFonts w:ascii="Times New Roman" w:hAnsi="Times New Roman" w:cs="Times New Roman"/>
          <w:sz w:val="24"/>
          <w:szCs w:val="24"/>
        </w:rPr>
        <w:t xml:space="preserve">- his human right – </w:t>
      </w:r>
      <w:r w:rsidR="00955AA5">
        <w:rPr>
          <w:rFonts w:ascii="Times New Roman" w:hAnsi="Times New Roman" w:cs="Times New Roman"/>
          <w:sz w:val="24"/>
          <w:szCs w:val="24"/>
        </w:rPr>
        <w:t>and</w:t>
      </w:r>
      <w:r w:rsidR="00FD22CC">
        <w:rPr>
          <w:rFonts w:ascii="Times New Roman" w:hAnsi="Times New Roman" w:cs="Times New Roman"/>
          <w:sz w:val="24"/>
          <w:szCs w:val="24"/>
        </w:rPr>
        <w:t xml:space="preserve"> treated fairly.</w:t>
      </w:r>
    </w:p>
    <w:p w:rsidR="009D6649" w:rsidRDefault="009D6649" w:rsidP="009D66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Delayed justice is a </w:t>
      </w:r>
      <w:r w:rsidR="00955AA5">
        <w:rPr>
          <w:rFonts w:ascii="Times New Roman" w:hAnsi="Times New Roman" w:cs="Times New Roman"/>
          <w:sz w:val="24"/>
          <w:szCs w:val="24"/>
        </w:rPr>
        <w:t>much-discussed</w:t>
      </w:r>
      <w:r>
        <w:rPr>
          <w:rFonts w:ascii="Times New Roman" w:hAnsi="Times New Roman" w:cs="Times New Roman"/>
          <w:sz w:val="24"/>
          <w:szCs w:val="24"/>
        </w:rPr>
        <w:t xml:space="preserve"> issue. There are, however, two more issues, which, despite their seriousness, find little discussion: (i) docket exclusion, i.e., the injustice suffered by those who lack the wherewithal to </w:t>
      </w:r>
      <w:r w:rsidR="00955AA5">
        <w:rPr>
          <w:rFonts w:ascii="Times New Roman" w:hAnsi="Times New Roman" w:cs="Times New Roman"/>
          <w:sz w:val="24"/>
          <w:szCs w:val="24"/>
        </w:rPr>
        <w:t>access</w:t>
      </w:r>
      <w:r>
        <w:rPr>
          <w:rFonts w:ascii="Times New Roman" w:hAnsi="Times New Roman" w:cs="Times New Roman"/>
          <w:sz w:val="24"/>
          <w:szCs w:val="24"/>
        </w:rPr>
        <w:t xml:space="preserve"> justice; and (ii) succumbing en route, i.e., those who come to Court, after waiting for few years, and despite being in the right, abandon as they are unable to bear the cost and delay.</w:t>
      </w:r>
    </w:p>
    <w:p w:rsidR="00FD22CC" w:rsidRDefault="00FD22CC" w:rsidP="009D6649">
      <w:pPr>
        <w:jc w:val="both"/>
        <w:rPr>
          <w:rFonts w:ascii="Times New Roman" w:hAnsi="Times New Roman" w:cs="Times New Roman"/>
          <w:sz w:val="24"/>
          <w:szCs w:val="24"/>
        </w:rPr>
      </w:pPr>
      <w:r>
        <w:rPr>
          <w:rFonts w:ascii="Times New Roman" w:hAnsi="Times New Roman" w:cs="Times New Roman"/>
          <w:sz w:val="24"/>
          <w:szCs w:val="24"/>
        </w:rPr>
        <w:t xml:space="preserve">We are a nation governed by the Rule of </w:t>
      </w:r>
      <w:r w:rsidR="00955AA5">
        <w:rPr>
          <w:rFonts w:ascii="Times New Roman" w:hAnsi="Times New Roman" w:cs="Times New Roman"/>
          <w:sz w:val="24"/>
          <w:szCs w:val="24"/>
        </w:rPr>
        <w:t>Law, which</w:t>
      </w:r>
      <w:r w:rsidR="0054733D">
        <w:rPr>
          <w:rFonts w:ascii="Times New Roman" w:hAnsi="Times New Roman" w:cs="Times New Roman"/>
          <w:sz w:val="24"/>
          <w:szCs w:val="24"/>
        </w:rPr>
        <w:t xml:space="preserve"> includes a number of within it – each contributing to the total confidence of the citizen in the democratic set up and the perception of its qualitative functioning. It is the foundation of civilized society and establishes a transparent </w:t>
      </w:r>
      <w:r w:rsidR="00955AA5">
        <w:rPr>
          <w:rFonts w:ascii="Times New Roman" w:hAnsi="Times New Roman" w:cs="Times New Roman"/>
          <w:sz w:val="24"/>
          <w:szCs w:val="24"/>
        </w:rPr>
        <w:t>process</w:t>
      </w:r>
      <w:r w:rsidR="0054733D">
        <w:rPr>
          <w:rFonts w:ascii="Times New Roman" w:hAnsi="Times New Roman" w:cs="Times New Roman"/>
          <w:sz w:val="24"/>
          <w:szCs w:val="24"/>
        </w:rPr>
        <w:t xml:space="preserve"> accessible by all, and equal to all. It </w:t>
      </w:r>
      <w:r w:rsidR="00955AA5">
        <w:rPr>
          <w:rFonts w:ascii="Times New Roman" w:hAnsi="Times New Roman" w:cs="Times New Roman"/>
          <w:sz w:val="24"/>
          <w:szCs w:val="24"/>
        </w:rPr>
        <w:t>includes</w:t>
      </w:r>
      <w:r w:rsidR="0054733D">
        <w:rPr>
          <w:rFonts w:ascii="Times New Roman" w:hAnsi="Times New Roman" w:cs="Times New Roman"/>
          <w:sz w:val="24"/>
          <w:szCs w:val="24"/>
        </w:rPr>
        <w:t xml:space="preserve"> quality of </w:t>
      </w:r>
      <w:r w:rsidR="00955AA5">
        <w:rPr>
          <w:rFonts w:ascii="Times New Roman" w:hAnsi="Times New Roman" w:cs="Times New Roman"/>
          <w:sz w:val="24"/>
          <w:szCs w:val="24"/>
        </w:rPr>
        <w:t>laws, security</w:t>
      </w:r>
      <w:r w:rsidR="0054733D">
        <w:rPr>
          <w:rFonts w:ascii="Times New Roman" w:hAnsi="Times New Roman" w:cs="Times New Roman"/>
          <w:sz w:val="24"/>
          <w:szCs w:val="24"/>
        </w:rPr>
        <w:t xml:space="preserve"> of persons and </w:t>
      </w:r>
      <w:r w:rsidR="00955AA5">
        <w:rPr>
          <w:rFonts w:ascii="Times New Roman" w:hAnsi="Times New Roman" w:cs="Times New Roman"/>
          <w:sz w:val="24"/>
          <w:szCs w:val="24"/>
        </w:rPr>
        <w:t>property</w:t>
      </w:r>
      <w:r w:rsidR="0054733D">
        <w:rPr>
          <w:rFonts w:ascii="Times New Roman" w:hAnsi="Times New Roman" w:cs="Times New Roman"/>
          <w:sz w:val="24"/>
          <w:szCs w:val="24"/>
        </w:rPr>
        <w:t xml:space="preserve">, respect for law in relations between citizens </w:t>
      </w:r>
      <w:r w:rsidR="0054733D" w:rsidRPr="0054733D">
        <w:rPr>
          <w:rFonts w:ascii="Times New Roman" w:hAnsi="Times New Roman" w:cs="Times New Roman"/>
          <w:i/>
          <w:sz w:val="24"/>
          <w:szCs w:val="24"/>
        </w:rPr>
        <w:t>inter se</w:t>
      </w:r>
      <w:r w:rsidR="0054733D">
        <w:rPr>
          <w:rFonts w:ascii="Times New Roman" w:hAnsi="Times New Roman" w:cs="Times New Roman"/>
          <w:sz w:val="24"/>
          <w:szCs w:val="24"/>
        </w:rPr>
        <w:t xml:space="preserve">and between the citizen and the government. Accessibility and efficiency of the justice delivery </w:t>
      </w:r>
      <w:r w:rsidR="00955AA5">
        <w:rPr>
          <w:rFonts w:ascii="Times New Roman" w:hAnsi="Times New Roman" w:cs="Times New Roman"/>
          <w:sz w:val="24"/>
          <w:szCs w:val="24"/>
        </w:rPr>
        <w:t>system</w:t>
      </w:r>
      <w:r w:rsidR="0054733D">
        <w:rPr>
          <w:rFonts w:ascii="Times New Roman" w:hAnsi="Times New Roman" w:cs="Times New Roman"/>
          <w:sz w:val="24"/>
          <w:szCs w:val="24"/>
        </w:rPr>
        <w:t xml:space="preserve"> is an important component of Rule of L</w:t>
      </w:r>
      <w:r w:rsidR="009D7A36">
        <w:rPr>
          <w:rFonts w:ascii="Times New Roman" w:hAnsi="Times New Roman" w:cs="Times New Roman"/>
          <w:sz w:val="24"/>
          <w:szCs w:val="24"/>
        </w:rPr>
        <w:t xml:space="preserve">aw. </w:t>
      </w:r>
    </w:p>
    <w:p w:rsidR="00955AA5" w:rsidRDefault="00955AA5" w:rsidP="009D6649">
      <w:pPr>
        <w:jc w:val="both"/>
        <w:rPr>
          <w:rFonts w:ascii="Times New Roman" w:hAnsi="Times New Roman" w:cs="Times New Roman"/>
          <w:sz w:val="24"/>
          <w:szCs w:val="24"/>
        </w:rPr>
      </w:pPr>
      <w:r>
        <w:rPr>
          <w:rFonts w:ascii="Times New Roman" w:hAnsi="Times New Roman" w:cs="Times New Roman"/>
          <w:sz w:val="24"/>
          <w:szCs w:val="24"/>
        </w:rPr>
        <w:t xml:space="preserve">What </w:t>
      </w:r>
      <w:r w:rsidR="002F049F">
        <w:rPr>
          <w:rFonts w:ascii="Times New Roman" w:hAnsi="Times New Roman" w:cs="Times New Roman"/>
          <w:sz w:val="24"/>
          <w:szCs w:val="24"/>
        </w:rPr>
        <w:t>the grounds realities are</w:t>
      </w:r>
      <w:r w:rsidRPr="00955AA5">
        <w:rPr>
          <w:rFonts w:ascii="Times New Roman" w:hAnsi="Times New Roman" w:cs="Times New Roman"/>
          <w:i/>
          <w:sz w:val="24"/>
          <w:szCs w:val="24"/>
        </w:rPr>
        <w:t>re</w:t>
      </w:r>
      <w:r>
        <w:rPr>
          <w:rFonts w:ascii="Times New Roman" w:hAnsi="Times New Roman" w:cs="Times New Roman"/>
          <w:sz w:val="24"/>
          <w:szCs w:val="24"/>
        </w:rPr>
        <w:t xml:space="preserve">access to justice? </w:t>
      </w:r>
      <w:r w:rsidR="002F049F">
        <w:rPr>
          <w:rFonts w:ascii="Times New Roman" w:hAnsi="Times New Roman" w:cs="Times New Roman"/>
          <w:sz w:val="24"/>
          <w:szCs w:val="24"/>
        </w:rPr>
        <w:t>Each one of us must ask this question</w:t>
      </w:r>
      <w:r>
        <w:rPr>
          <w:rFonts w:ascii="Times New Roman" w:hAnsi="Times New Roman" w:cs="Times New Roman"/>
          <w:sz w:val="24"/>
          <w:szCs w:val="24"/>
        </w:rPr>
        <w:t xml:space="preserve"> ourselves. Fair distribution </w:t>
      </w:r>
      <w:r w:rsidR="00FF6B96">
        <w:rPr>
          <w:rFonts w:ascii="Times New Roman" w:hAnsi="Times New Roman" w:cs="Times New Roman"/>
          <w:sz w:val="24"/>
          <w:szCs w:val="24"/>
        </w:rPr>
        <w:t xml:space="preserve">of social goods and services to citizens withoutshort delivery is possible only </w:t>
      </w:r>
      <w:r w:rsidR="002F049F">
        <w:rPr>
          <w:rFonts w:ascii="Times New Roman" w:hAnsi="Times New Roman" w:cs="Times New Roman"/>
          <w:sz w:val="24"/>
          <w:szCs w:val="24"/>
        </w:rPr>
        <w:t>when</w:t>
      </w:r>
      <w:r w:rsidR="00FF6B96">
        <w:rPr>
          <w:rFonts w:ascii="Times New Roman" w:hAnsi="Times New Roman" w:cs="Times New Roman"/>
          <w:sz w:val="24"/>
          <w:szCs w:val="24"/>
        </w:rPr>
        <w:t xml:space="preserve"> there is access to justice. It is not only th</w:t>
      </w:r>
      <w:r w:rsidR="002F049F">
        <w:rPr>
          <w:rFonts w:ascii="Times New Roman" w:hAnsi="Times New Roman" w:cs="Times New Roman"/>
          <w:sz w:val="24"/>
          <w:szCs w:val="24"/>
        </w:rPr>
        <w:t xml:space="preserve">e corporate </w:t>
      </w:r>
      <w:r w:rsidR="00FF6B96">
        <w:rPr>
          <w:rFonts w:ascii="Times New Roman" w:hAnsi="Times New Roman" w:cs="Times New Roman"/>
          <w:sz w:val="24"/>
          <w:szCs w:val="24"/>
        </w:rPr>
        <w:t xml:space="preserve">and the rich, but also the common </w:t>
      </w:r>
      <w:r w:rsidR="002F049F">
        <w:rPr>
          <w:rFonts w:ascii="Times New Roman" w:hAnsi="Times New Roman" w:cs="Times New Roman"/>
          <w:sz w:val="24"/>
          <w:szCs w:val="24"/>
        </w:rPr>
        <w:t>person</w:t>
      </w:r>
      <w:r w:rsidR="00FF6B96">
        <w:rPr>
          <w:rFonts w:ascii="Times New Roman" w:hAnsi="Times New Roman" w:cs="Times New Roman"/>
          <w:sz w:val="24"/>
          <w:szCs w:val="24"/>
        </w:rPr>
        <w:t xml:space="preserve">, who </w:t>
      </w:r>
      <w:r w:rsidR="002F049F">
        <w:rPr>
          <w:rFonts w:ascii="Times New Roman" w:hAnsi="Times New Roman" w:cs="Times New Roman"/>
          <w:sz w:val="24"/>
          <w:szCs w:val="24"/>
        </w:rPr>
        <w:t>is entitled</w:t>
      </w:r>
      <w:r w:rsidR="00FF6B96">
        <w:rPr>
          <w:rFonts w:ascii="Times New Roman" w:hAnsi="Times New Roman" w:cs="Times New Roman"/>
          <w:sz w:val="24"/>
          <w:szCs w:val="24"/>
        </w:rPr>
        <w:t xml:space="preserve"> to </w:t>
      </w:r>
      <w:r w:rsidR="002F049F">
        <w:rPr>
          <w:rFonts w:ascii="Times New Roman" w:hAnsi="Times New Roman" w:cs="Times New Roman"/>
          <w:sz w:val="24"/>
          <w:szCs w:val="24"/>
        </w:rPr>
        <w:t>justice</w:t>
      </w:r>
      <w:r w:rsidR="00FF6B96">
        <w:rPr>
          <w:rFonts w:ascii="Times New Roman" w:hAnsi="Times New Roman" w:cs="Times New Roman"/>
          <w:sz w:val="24"/>
          <w:szCs w:val="24"/>
        </w:rPr>
        <w:t xml:space="preserve"> – and equally. The ‘value’ of justice to the common </w:t>
      </w:r>
      <w:r w:rsidR="002F049F">
        <w:rPr>
          <w:rFonts w:ascii="Times New Roman" w:hAnsi="Times New Roman" w:cs="Times New Roman"/>
          <w:sz w:val="24"/>
          <w:szCs w:val="24"/>
        </w:rPr>
        <w:t>person</w:t>
      </w:r>
      <w:r w:rsidR="00FF6B96">
        <w:rPr>
          <w:rFonts w:ascii="Times New Roman" w:hAnsi="Times New Roman" w:cs="Times New Roman"/>
          <w:sz w:val="24"/>
          <w:szCs w:val="24"/>
        </w:rPr>
        <w:t xml:space="preserve"> cannot be measured in terms of a table annexed to Court Fees Act, 1870 or a Suit Valuation Act, 1887.</w:t>
      </w:r>
    </w:p>
    <w:p w:rsidR="009D6649" w:rsidRDefault="00FF6B96" w:rsidP="009D6649">
      <w:pPr>
        <w:jc w:val="both"/>
        <w:rPr>
          <w:rFonts w:ascii="Times New Roman" w:hAnsi="Times New Roman" w:cs="Times New Roman"/>
          <w:sz w:val="24"/>
          <w:szCs w:val="24"/>
        </w:rPr>
      </w:pPr>
      <w:r>
        <w:rPr>
          <w:rFonts w:ascii="Times New Roman" w:hAnsi="Times New Roman" w:cs="Times New Roman"/>
          <w:sz w:val="24"/>
          <w:szCs w:val="24"/>
        </w:rPr>
        <w:t>It is necessary to look at our 1.3 billion population from an economic pers</w:t>
      </w:r>
      <w:r w:rsidR="002F1909">
        <w:rPr>
          <w:rFonts w:ascii="Times New Roman" w:hAnsi="Times New Roman" w:cs="Times New Roman"/>
          <w:sz w:val="24"/>
          <w:szCs w:val="24"/>
        </w:rPr>
        <w:t xml:space="preserve">pective regarding their affordability of access to justice by putting ourselves in their shoes. Only 4% pay tax. As </w:t>
      </w:r>
      <w:r w:rsidR="002F049F">
        <w:rPr>
          <w:rFonts w:ascii="Times New Roman" w:hAnsi="Times New Roman" w:cs="Times New Roman"/>
          <w:sz w:val="24"/>
          <w:szCs w:val="24"/>
        </w:rPr>
        <w:t>also,</w:t>
      </w:r>
      <w:r w:rsidR="002F1909">
        <w:rPr>
          <w:rFonts w:ascii="Times New Roman" w:hAnsi="Times New Roman" w:cs="Times New Roman"/>
          <w:sz w:val="24"/>
          <w:szCs w:val="24"/>
        </w:rPr>
        <w:t xml:space="preserve"> to be remembered is the phenomenon that accessible and effective justice system improves primary (</w:t>
      </w:r>
      <w:r w:rsidR="002F1909">
        <w:rPr>
          <w:rFonts w:ascii="Times New Roman" w:hAnsi="Times New Roman" w:cs="Times New Roman"/>
          <w:i/>
          <w:sz w:val="24"/>
          <w:szCs w:val="24"/>
        </w:rPr>
        <w:t>ex ante</w:t>
      </w:r>
      <w:r w:rsidR="002F1909">
        <w:rPr>
          <w:rFonts w:ascii="Times New Roman" w:hAnsi="Times New Roman" w:cs="Times New Roman"/>
          <w:sz w:val="24"/>
          <w:szCs w:val="24"/>
        </w:rPr>
        <w:t xml:space="preserve">) </w:t>
      </w:r>
      <w:r w:rsidR="00DC2CE8">
        <w:rPr>
          <w:rFonts w:ascii="Times New Roman" w:hAnsi="Times New Roman" w:cs="Times New Roman"/>
          <w:sz w:val="24"/>
          <w:szCs w:val="24"/>
        </w:rPr>
        <w:t>behavior</w:t>
      </w:r>
      <w:r w:rsidR="002F1909">
        <w:rPr>
          <w:rFonts w:ascii="Times New Roman" w:hAnsi="Times New Roman" w:cs="Times New Roman"/>
          <w:sz w:val="24"/>
          <w:szCs w:val="24"/>
        </w:rPr>
        <w:t xml:space="preserve"> of the citizens as also the working of </w:t>
      </w:r>
      <w:r w:rsidR="002F049F">
        <w:rPr>
          <w:rFonts w:ascii="Times New Roman" w:hAnsi="Times New Roman" w:cs="Times New Roman"/>
          <w:sz w:val="24"/>
          <w:szCs w:val="24"/>
        </w:rPr>
        <w:t>the</w:t>
      </w:r>
      <w:r w:rsidR="002F1909">
        <w:rPr>
          <w:rFonts w:ascii="Times New Roman" w:hAnsi="Times New Roman" w:cs="Times New Roman"/>
          <w:sz w:val="24"/>
          <w:szCs w:val="24"/>
        </w:rPr>
        <w:t xml:space="preserve"> State machinery.</w:t>
      </w:r>
    </w:p>
    <w:p w:rsidR="002F049F" w:rsidRDefault="002F049F" w:rsidP="009D6649">
      <w:pPr>
        <w:jc w:val="both"/>
        <w:rPr>
          <w:rFonts w:ascii="Times New Roman" w:hAnsi="Times New Roman" w:cs="Times New Roman"/>
          <w:sz w:val="24"/>
          <w:szCs w:val="24"/>
        </w:rPr>
      </w:pPr>
      <w:r>
        <w:rPr>
          <w:rFonts w:ascii="Times New Roman" w:hAnsi="Times New Roman" w:cs="Times New Roman"/>
          <w:sz w:val="24"/>
          <w:szCs w:val="24"/>
        </w:rPr>
        <w:t xml:space="preserve">The bulk of population suffers civil injustice, without even knowing that their rights are being violated, and the few who are aware, hesitate to take action. Most find </w:t>
      </w:r>
      <w:r w:rsidR="00A91A2B">
        <w:rPr>
          <w:rFonts w:ascii="Times New Roman" w:hAnsi="Times New Roman" w:cs="Times New Roman"/>
          <w:sz w:val="24"/>
          <w:szCs w:val="24"/>
        </w:rPr>
        <w:t>themselves</w:t>
      </w:r>
      <w:r w:rsidR="00A45B9E">
        <w:rPr>
          <w:rFonts w:ascii="Times New Roman" w:hAnsi="Times New Roman" w:cs="Times New Roman"/>
          <w:sz w:val="24"/>
          <w:szCs w:val="24"/>
        </w:rPr>
        <w:t xml:space="preserve"> unable to access the justice system for financial reasons. To add up insult to </w:t>
      </w:r>
      <w:r w:rsidR="00A91A2B">
        <w:rPr>
          <w:rFonts w:ascii="Times New Roman" w:hAnsi="Times New Roman" w:cs="Times New Roman"/>
          <w:sz w:val="24"/>
          <w:szCs w:val="24"/>
        </w:rPr>
        <w:t>injury</w:t>
      </w:r>
      <w:r w:rsidR="00A45B9E">
        <w:rPr>
          <w:rFonts w:ascii="Times New Roman" w:hAnsi="Times New Roman" w:cs="Times New Roman"/>
          <w:sz w:val="24"/>
          <w:szCs w:val="24"/>
        </w:rPr>
        <w:t>, w</w:t>
      </w:r>
      <w:r w:rsidR="00A91A2B">
        <w:rPr>
          <w:rFonts w:ascii="Times New Roman" w:hAnsi="Times New Roman" w:cs="Times New Roman"/>
          <w:sz w:val="24"/>
          <w:szCs w:val="24"/>
        </w:rPr>
        <w:t xml:space="preserve">ith the delays that take place, most of those who do come to the Court, unable to bear the wait and the mounting costs, and with little hope to recompense for the </w:t>
      </w:r>
      <w:r w:rsidR="00DC2CE8">
        <w:rPr>
          <w:rFonts w:ascii="Times New Roman" w:hAnsi="Times New Roman" w:cs="Times New Roman"/>
          <w:sz w:val="24"/>
          <w:szCs w:val="24"/>
        </w:rPr>
        <w:t>wait,</w:t>
      </w:r>
      <w:r w:rsidR="00A91A2B">
        <w:rPr>
          <w:rFonts w:ascii="Times New Roman" w:hAnsi="Times New Roman" w:cs="Times New Roman"/>
          <w:sz w:val="24"/>
          <w:szCs w:val="24"/>
        </w:rPr>
        <w:t xml:space="preserve"> surrender enroute and blame the system. Others quietly suffer </w:t>
      </w:r>
      <w:r w:rsidR="00DC2CE8">
        <w:rPr>
          <w:rFonts w:ascii="Times New Roman" w:hAnsi="Times New Roman" w:cs="Times New Roman"/>
          <w:sz w:val="24"/>
          <w:szCs w:val="24"/>
        </w:rPr>
        <w:t>injustice,</w:t>
      </w:r>
      <w:r w:rsidR="00A91A2B">
        <w:rPr>
          <w:rFonts w:ascii="Times New Roman" w:hAnsi="Times New Roman" w:cs="Times New Roman"/>
          <w:sz w:val="24"/>
          <w:szCs w:val="24"/>
        </w:rPr>
        <w:t xml:space="preserve"> blaming their own destiny. </w:t>
      </w:r>
    </w:p>
    <w:p w:rsidR="00A91A2B" w:rsidRDefault="006E419B" w:rsidP="009D6649">
      <w:pPr>
        <w:jc w:val="both"/>
        <w:rPr>
          <w:rFonts w:ascii="Times New Roman" w:hAnsi="Times New Roman" w:cs="Times New Roman"/>
          <w:sz w:val="24"/>
          <w:szCs w:val="24"/>
        </w:rPr>
      </w:pPr>
      <w:r>
        <w:rPr>
          <w:rFonts w:ascii="Times New Roman" w:hAnsi="Times New Roman" w:cs="Times New Roman"/>
          <w:sz w:val="24"/>
          <w:szCs w:val="24"/>
        </w:rPr>
        <w:t xml:space="preserve">Procedural Law is a set of </w:t>
      </w:r>
      <w:r w:rsidR="00DC2CE8">
        <w:rPr>
          <w:rFonts w:ascii="Times New Roman" w:hAnsi="Times New Roman" w:cs="Times New Roman"/>
          <w:sz w:val="24"/>
          <w:szCs w:val="24"/>
        </w:rPr>
        <w:t>rules</w:t>
      </w:r>
      <w:r>
        <w:rPr>
          <w:rFonts w:ascii="Times New Roman" w:hAnsi="Times New Roman" w:cs="Times New Roman"/>
          <w:sz w:val="24"/>
          <w:szCs w:val="24"/>
        </w:rPr>
        <w:t xml:space="preserve"> that </w:t>
      </w:r>
      <w:r w:rsidR="00FB3BFD">
        <w:rPr>
          <w:rFonts w:ascii="Times New Roman" w:hAnsi="Times New Roman" w:cs="Times New Roman"/>
          <w:sz w:val="24"/>
          <w:szCs w:val="24"/>
        </w:rPr>
        <w:t>help</w:t>
      </w:r>
      <w:r>
        <w:rPr>
          <w:rFonts w:ascii="Times New Roman" w:hAnsi="Times New Roman" w:cs="Times New Roman"/>
          <w:sz w:val="24"/>
          <w:szCs w:val="24"/>
        </w:rPr>
        <w:t xml:space="preserve"> guide the adjudication process. </w:t>
      </w:r>
      <w:r w:rsidR="00B07BFF">
        <w:rPr>
          <w:rFonts w:ascii="Times New Roman" w:hAnsi="Times New Roman" w:cs="Times New Roman"/>
          <w:sz w:val="24"/>
          <w:szCs w:val="24"/>
        </w:rPr>
        <w:t xml:space="preserve">The quality of procedural law, as also the depth, determines (i) accuracy if the result, (ii) the time taken and (iii) the costs incurred. </w:t>
      </w:r>
      <w:r>
        <w:rPr>
          <w:rFonts w:ascii="Times New Roman" w:hAnsi="Times New Roman" w:cs="Times New Roman"/>
          <w:sz w:val="24"/>
          <w:szCs w:val="24"/>
        </w:rPr>
        <w:t xml:space="preserve">The procedural law in our country – civil and criminal – is outdated and needs a complete reform. Further, in order to achieve greater </w:t>
      </w:r>
      <w:r w:rsidR="00FB3BFD">
        <w:rPr>
          <w:rFonts w:ascii="Times New Roman" w:hAnsi="Times New Roman" w:cs="Times New Roman"/>
          <w:sz w:val="24"/>
          <w:szCs w:val="24"/>
        </w:rPr>
        <w:t>efficiency</w:t>
      </w:r>
      <w:r>
        <w:rPr>
          <w:rFonts w:ascii="Times New Roman" w:hAnsi="Times New Roman" w:cs="Times New Roman"/>
          <w:sz w:val="24"/>
          <w:szCs w:val="24"/>
        </w:rPr>
        <w:t xml:space="preserve"> in </w:t>
      </w:r>
      <w:r w:rsidR="00FB3BFD">
        <w:rPr>
          <w:rFonts w:ascii="Times New Roman" w:hAnsi="Times New Roman" w:cs="Times New Roman"/>
          <w:sz w:val="24"/>
          <w:szCs w:val="24"/>
        </w:rPr>
        <w:t>justice</w:t>
      </w:r>
      <w:r>
        <w:rPr>
          <w:rFonts w:ascii="Times New Roman" w:hAnsi="Times New Roman" w:cs="Times New Roman"/>
          <w:sz w:val="24"/>
          <w:szCs w:val="24"/>
        </w:rPr>
        <w:t xml:space="preserve"> delivery, it calls for subject-specific tailoring of procedures, regular issue of practice </w:t>
      </w:r>
      <w:r w:rsidR="00FB3BFD">
        <w:rPr>
          <w:rFonts w:ascii="Times New Roman" w:hAnsi="Times New Roman" w:cs="Times New Roman"/>
          <w:sz w:val="24"/>
          <w:szCs w:val="24"/>
        </w:rPr>
        <w:t>directions</w:t>
      </w:r>
      <w:r>
        <w:rPr>
          <w:rFonts w:ascii="Times New Roman" w:hAnsi="Times New Roman" w:cs="Times New Roman"/>
          <w:sz w:val="24"/>
          <w:szCs w:val="24"/>
        </w:rPr>
        <w:t xml:space="preserve"> and attention towards forms, checklists and instruction notes.</w:t>
      </w:r>
    </w:p>
    <w:p w:rsidR="006E419B" w:rsidRDefault="006E419B" w:rsidP="009D6649">
      <w:pPr>
        <w:jc w:val="both"/>
        <w:rPr>
          <w:rFonts w:ascii="Times New Roman" w:hAnsi="Times New Roman" w:cs="Times New Roman"/>
          <w:sz w:val="24"/>
          <w:szCs w:val="24"/>
        </w:rPr>
      </w:pPr>
      <w:r>
        <w:rPr>
          <w:rFonts w:ascii="Times New Roman" w:hAnsi="Times New Roman" w:cs="Times New Roman"/>
          <w:sz w:val="24"/>
          <w:szCs w:val="24"/>
        </w:rPr>
        <w:t xml:space="preserve">Too initiate, carry out and complete the </w:t>
      </w:r>
      <w:r w:rsidR="00FB3BFD">
        <w:rPr>
          <w:rFonts w:ascii="Times New Roman" w:hAnsi="Times New Roman" w:cs="Times New Roman"/>
          <w:sz w:val="24"/>
          <w:szCs w:val="24"/>
        </w:rPr>
        <w:t xml:space="preserve">judicial process has a cost. That ‘cost’ depends on two factors: (i) efficiency of the procedures and practices and (ii) the consumption of the Court time </w:t>
      </w:r>
      <w:r w:rsidR="00FB3BFD">
        <w:rPr>
          <w:rFonts w:ascii="Times New Roman" w:hAnsi="Times New Roman" w:cs="Times New Roman"/>
          <w:sz w:val="24"/>
          <w:szCs w:val="24"/>
        </w:rPr>
        <w:lastRenderedPageBreak/>
        <w:t>by the wrong-doer</w:t>
      </w:r>
      <w:r w:rsidR="007F59EE">
        <w:rPr>
          <w:rFonts w:ascii="Times New Roman" w:hAnsi="Times New Roman" w:cs="Times New Roman"/>
          <w:sz w:val="24"/>
          <w:szCs w:val="24"/>
        </w:rPr>
        <w:t>s, only to make their unfair gain, and thereby delay the whole process and increase costs.</w:t>
      </w:r>
    </w:p>
    <w:p w:rsidR="007F59EE" w:rsidRDefault="007F59EE" w:rsidP="009D6649">
      <w:pPr>
        <w:jc w:val="both"/>
        <w:rPr>
          <w:rFonts w:ascii="Times New Roman" w:hAnsi="Times New Roman" w:cs="Times New Roman"/>
          <w:sz w:val="24"/>
          <w:szCs w:val="24"/>
        </w:rPr>
      </w:pPr>
      <w:r>
        <w:rPr>
          <w:rFonts w:ascii="Times New Roman" w:hAnsi="Times New Roman" w:cs="Times New Roman"/>
          <w:sz w:val="24"/>
          <w:szCs w:val="24"/>
        </w:rPr>
        <w:t>In so far as reducing the costs is concerned, there are three parts to it:</w:t>
      </w:r>
    </w:p>
    <w:p w:rsidR="00D776FD" w:rsidRDefault="007F59EE" w:rsidP="00D776F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Preventing </w:t>
      </w:r>
      <w:r w:rsidR="00B07BFF">
        <w:rPr>
          <w:rFonts w:ascii="Times New Roman" w:hAnsi="Times New Roman" w:cs="Times New Roman"/>
          <w:sz w:val="24"/>
          <w:szCs w:val="24"/>
        </w:rPr>
        <w:t>consumption</w:t>
      </w:r>
      <w:r>
        <w:rPr>
          <w:rFonts w:ascii="Times New Roman" w:hAnsi="Times New Roman" w:cs="Times New Roman"/>
          <w:sz w:val="24"/>
          <w:szCs w:val="24"/>
        </w:rPr>
        <w:t xml:space="preserve"> and waste at the instance of those who seek to abuse the judic</w:t>
      </w:r>
      <w:r w:rsidR="00D776FD">
        <w:rPr>
          <w:rFonts w:ascii="Times New Roman" w:hAnsi="Times New Roman" w:cs="Times New Roman"/>
          <w:sz w:val="24"/>
          <w:szCs w:val="24"/>
        </w:rPr>
        <w:t xml:space="preserve">ial system for their own wrongful private gain (this accounts for 90% of the time </w:t>
      </w:r>
      <w:r w:rsidR="00B07BFF">
        <w:rPr>
          <w:rFonts w:ascii="Times New Roman" w:hAnsi="Times New Roman" w:cs="Times New Roman"/>
          <w:sz w:val="24"/>
          <w:szCs w:val="24"/>
        </w:rPr>
        <w:t>consumption</w:t>
      </w:r>
      <w:r w:rsidR="00D776FD">
        <w:rPr>
          <w:rFonts w:ascii="Times New Roman" w:hAnsi="Times New Roman" w:cs="Times New Roman"/>
          <w:sz w:val="24"/>
          <w:szCs w:val="24"/>
        </w:rPr>
        <w:t xml:space="preserve"> today)</w:t>
      </w:r>
    </w:p>
    <w:p w:rsidR="00D776FD" w:rsidRDefault="00D776FD" w:rsidP="00D776F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Improving procedures and practices for adjudication</w:t>
      </w:r>
    </w:p>
    <w:p w:rsidR="00D776FD" w:rsidRDefault="00D776FD" w:rsidP="00D776F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Improving functioning of the Court and the support staff so as to turn out greater productivity as compared to the present, and this includes preventing overloads of work with a judicial officer</w:t>
      </w:r>
    </w:p>
    <w:p w:rsidR="00B07BFF" w:rsidRDefault="00D776FD" w:rsidP="00D776FD">
      <w:pPr>
        <w:jc w:val="both"/>
        <w:rPr>
          <w:rFonts w:ascii="Times New Roman" w:hAnsi="Times New Roman" w:cs="Times New Roman"/>
          <w:sz w:val="24"/>
          <w:szCs w:val="24"/>
        </w:rPr>
      </w:pPr>
      <w:r>
        <w:rPr>
          <w:rFonts w:ascii="Times New Roman" w:hAnsi="Times New Roman" w:cs="Times New Roman"/>
          <w:sz w:val="24"/>
          <w:szCs w:val="24"/>
        </w:rPr>
        <w:t xml:space="preserve">The dynamics behind the development of the current state of affairs in our litigation with endless delays is actually a vicious cycle. The </w:t>
      </w:r>
      <w:r w:rsidR="00B07BFF">
        <w:rPr>
          <w:rFonts w:ascii="Times New Roman" w:hAnsi="Times New Roman" w:cs="Times New Roman"/>
          <w:sz w:val="24"/>
          <w:szCs w:val="24"/>
        </w:rPr>
        <w:t>component</w:t>
      </w:r>
      <w:r>
        <w:rPr>
          <w:rFonts w:ascii="Times New Roman" w:hAnsi="Times New Roman" w:cs="Times New Roman"/>
          <w:sz w:val="24"/>
          <w:szCs w:val="24"/>
        </w:rPr>
        <w:t xml:space="preserve"> element of every such vicious cycle – in fact, each </w:t>
      </w:r>
      <w:r w:rsidR="00B07BFF">
        <w:rPr>
          <w:rFonts w:ascii="Times New Roman" w:hAnsi="Times New Roman" w:cs="Times New Roman"/>
          <w:sz w:val="24"/>
          <w:szCs w:val="24"/>
        </w:rPr>
        <w:t>with</w:t>
      </w:r>
      <w:r>
        <w:rPr>
          <w:rFonts w:ascii="Times New Roman" w:hAnsi="Times New Roman" w:cs="Times New Roman"/>
          <w:sz w:val="24"/>
          <w:szCs w:val="24"/>
        </w:rPr>
        <w:t xml:space="preserve"> its individual feedback loop – needs to be </w:t>
      </w:r>
      <w:r w:rsidR="00B07BFF">
        <w:rPr>
          <w:rFonts w:ascii="Times New Roman" w:hAnsi="Times New Roman" w:cs="Times New Roman"/>
          <w:sz w:val="24"/>
          <w:szCs w:val="24"/>
        </w:rPr>
        <w:t>analyzed</w:t>
      </w:r>
      <w:r>
        <w:rPr>
          <w:rFonts w:ascii="Times New Roman" w:hAnsi="Times New Roman" w:cs="Times New Roman"/>
          <w:sz w:val="24"/>
          <w:szCs w:val="24"/>
        </w:rPr>
        <w:t xml:space="preserve">. Only thereafter would any meaningful tailor-made procedural reforms and </w:t>
      </w:r>
      <w:r w:rsidR="00B07BFF">
        <w:rPr>
          <w:rFonts w:ascii="Times New Roman" w:hAnsi="Times New Roman" w:cs="Times New Roman"/>
          <w:sz w:val="24"/>
          <w:szCs w:val="24"/>
        </w:rPr>
        <w:t>practices work as an exogenous factor to break the loop of the various adverse elements – primarily by removing the incentives that create the requisite momentum for that loop.</w:t>
      </w:r>
    </w:p>
    <w:p w:rsidR="002F1909" w:rsidRPr="009D6649" w:rsidRDefault="00B07BFF" w:rsidP="009D6649">
      <w:pPr>
        <w:jc w:val="both"/>
        <w:rPr>
          <w:rFonts w:ascii="Times New Roman" w:hAnsi="Times New Roman" w:cs="Times New Roman"/>
          <w:sz w:val="24"/>
          <w:szCs w:val="24"/>
        </w:rPr>
      </w:pPr>
      <w:r>
        <w:rPr>
          <w:rFonts w:ascii="Times New Roman" w:hAnsi="Times New Roman" w:cs="Times New Roman"/>
          <w:sz w:val="24"/>
          <w:szCs w:val="24"/>
        </w:rPr>
        <w:t>The 42</w:t>
      </w:r>
      <w:r w:rsidRPr="00B07BFF">
        <w:rPr>
          <w:rFonts w:ascii="Times New Roman" w:hAnsi="Times New Roman" w:cs="Times New Roman"/>
          <w:sz w:val="24"/>
          <w:szCs w:val="24"/>
          <w:vertAlign w:val="superscript"/>
        </w:rPr>
        <w:t>nd</w:t>
      </w:r>
      <w:r>
        <w:rPr>
          <w:rFonts w:ascii="Times New Roman" w:hAnsi="Times New Roman" w:cs="Times New Roman"/>
          <w:sz w:val="24"/>
          <w:szCs w:val="24"/>
        </w:rPr>
        <w:t xml:space="preserve"> Amendment in the Constitution of India was the said momentum required towards reversing the vicious cycle and was a stepping-stone in bringing the much-needed reform in the procedural laws in the civil litigation.</w:t>
      </w:r>
    </w:p>
    <w:p w:rsidR="00361499" w:rsidRPr="00FA0B30" w:rsidRDefault="00FA0B30" w:rsidP="00FA0B30">
      <w:pPr>
        <w:rPr>
          <w:rFonts w:ascii="Times New Roman" w:hAnsi="Times New Roman" w:cs="Times New Roman"/>
          <w:b/>
          <w:sz w:val="28"/>
          <w:szCs w:val="28"/>
        </w:rPr>
      </w:pPr>
      <w:r w:rsidRPr="00FA0B30">
        <w:rPr>
          <w:rFonts w:ascii="Times New Roman" w:hAnsi="Times New Roman" w:cs="Times New Roman"/>
          <w:b/>
          <w:sz w:val="28"/>
          <w:szCs w:val="28"/>
        </w:rPr>
        <w:t>Facts In Issue</w:t>
      </w:r>
    </w:p>
    <w:p w:rsidR="00361499" w:rsidRDefault="00204181" w:rsidP="001C7A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001C7A8B" w:rsidRPr="00361499">
        <w:rPr>
          <w:rFonts w:ascii="Times New Roman" w:hAnsi="Times New Roman" w:cs="Times New Roman"/>
          <w:sz w:val="24"/>
          <w:szCs w:val="24"/>
        </w:rPr>
        <w:t>Whether the power conferred upon Parliament or the Sta</w:t>
      </w:r>
      <w:r w:rsidR="00361499">
        <w:rPr>
          <w:rFonts w:ascii="Times New Roman" w:hAnsi="Times New Roman" w:cs="Times New Roman"/>
          <w:sz w:val="24"/>
          <w:szCs w:val="24"/>
        </w:rPr>
        <w:t>t</w:t>
      </w:r>
      <w:r w:rsidR="001C7A8B" w:rsidRPr="00361499">
        <w:rPr>
          <w:rFonts w:ascii="Times New Roman" w:hAnsi="Times New Roman" w:cs="Times New Roman"/>
          <w:sz w:val="24"/>
          <w:szCs w:val="24"/>
        </w:rPr>
        <w:t>e Legislatures, as the case may be, by Sub-clause (2)</w:t>
      </w:r>
      <w:r w:rsidR="00361499">
        <w:rPr>
          <w:rFonts w:ascii="Times New Roman" w:hAnsi="Times New Roman" w:cs="Times New Roman"/>
          <w:sz w:val="24"/>
          <w:szCs w:val="24"/>
        </w:rPr>
        <w:t xml:space="preserve"> (d)</w:t>
      </w:r>
      <w:r w:rsidR="001C7A8B" w:rsidRPr="00361499">
        <w:rPr>
          <w:rFonts w:ascii="Times New Roman" w:hAnsi="Times New Roman" w:cs="Times New Roman"/>
          <w:sz w:val="24"/>
          <w:szCs w:val="24"/>
        </w:rPr>
        <w:t xml:space="preserve"> of </w:t>
      </w:r>
      <w:hyperlink r:id="rId10" w:history="1">
        <w:r w:rsidR="001C7A8B" w:rsidRPr="00361499">
          <w:rPr>
            <w:rStyle w:val="Hyperlink"/>
            <w:rFonts w:ascii="Times New Roman" w:hAnsi="Times New Roman" w:cs="Times New Roman"/>
            <w:color w:val="auto"/>
            <w:sz w:val="24"/>
            <w:szCs w:val="24"/>
            <w:u w:val="none"/>
          </w:rPr>
          <w:t>Article 323A</w:t>
        </w:r>
      </w:hyperlink>
      <w:r w:rsidR="001C7A8B" w:rsidRPr="00361499">
        <w:rPr>
          <w:rFonts w:ascii="Times New Roman" w:hAnsi="Times New Roman" w:cs="Times New Roman"/>
          <w:sz w:val="24"/>
          <w:szCs w:val="24"/>
        </w:rPr>
        <w:t> or by Sub-clause (3)</w:t>
      </w:r>
      <w:r w:rsidR="00361499">
        <w:rPr>
          <w:rFonts w:ascii="Times New Roman" w:hAnsi="Times New Roman" w:cs="Times New Roman"/>
          <w:sz w:val="24"/>
          <w:szCs w:val="24"/>
        </w:rPr>
        <w:t xml:space="preserve"> (d)</w:t>
      </w:r>
      <w:r w:rsidR="001C7A8B" w:rsidRPr="00361499">
        <w:rPr>
          <w:rFonts w:ascii="Times New Roman" w:hAnsi="Times New Roman" w:cs="Times New Roman"/>
          <w:sz w:val="24"/>
          <w:szCs w:val="24"/>
        </w:rPr>
        <w:t xml:space="preserve"> of </w:t>
      </w:r>
      <w:hyperlink r:id="rId11" w:history="1">
        <w:r w:rsidR="001C7A8B" w:rsidRPr="00361499">
          <w:rPr>
            <w:rStyle w:val="Hyperlink"/>
            <w:rFonts w:ascii="Times New Roman" w:hAnsi="Times New Roman" w:cs="Times New Roman"/>
            <w:color w:val="auto"/>
            <w:sz w:val="24"/>
            <w:szCs w:val="24"/>
            <w:u w:val="none"/>
          </w:rPr>
          <w:t>Article 323B</w:t>
        </w:r>
      </w:hyperlink>
      <w:r w:rsidR="001C7A8B" w:rsidRPr="00361499">
        <w:rPr>
          <w:rFonts w:ascii="Times New Roman" w:hAnsi="Times New Roman" w:cs="Times New Roman"/>
          <w:sz w:val="24"/>
          <w:szCs w:val="24"/>
        </w:rPr>
        <w:t xml:space="preserve"> of the Constitution, totally exclude the jurisdiction of 'all courts', except that of the </w:t>
      </w:r>
      <w:r w:rsidR="00361499">
        <w:rPr>
          <w:rFonts w:ascii="Times New Roman" w:hAnsi="Times New Roman" w:cs="Times New Roman"/>
          <w:sz w:val="24"/>
          <w:szCs w:val="24"/>
        </w:rPr>
        <w:t>Apex</w:t>
      </w:r>
      <w:r w:rsidR="001C7A8B" w:rsidRPr="00361499">
        <w:rPr>
          <w:rFonts w:ascii="Times New Roman" w:hAnsi="Times New Roman" w:cs="Times New Roman"/>
          <w:sz w:val="24"/>
          <w:szCs w:val="24"/>
        </w:rPr>
        <w:t xml:space="preserve"> Court under </w:t>
      </w:r>
      <w:hyperlink r:id="rId12" w:history="1">
        <w:r w:rsidR="001C7A8B" w:rsidRPr="00361499">
          <w:rPr>
            <w:rStyle w:val="Hyperlink"/>
            <w:rFonts w:ascii="Times New Roman" w:hAnsi="Times New Roman" w:cs="Times New Roman"/>
            <w:color w:val="auto"/>
            <w:sz w:val="24"/>
            <w:szCs w:val="24"/>
            <w:u w:val="none"/>
          </w:rPr>
          <w:t>Article 136</w:t>
        </w:r>
      </w:hyperlink>
      <w:r w:rsidR="001C7A8B" w:rsidRPr="00361499">
        <w:rPr>
          <w:rFonts w:ascii="Times New Roman" w:hAnsi="Times New Roman" w:cs="Times New Roman"/>
          <w:sz w:val="24"/>
          <w:szCs w:val="24"/>
        </w:rPr>
        <w:t>, in respect of disputes and complaints referred to in</w:t>
      </w:r>
      <w:hyperlink r:id="rId13" w:history="1">
        <w:r w:rsidR="001C7A8B" w:rsidRPr="00361499">
          <w:rPr>
            <w:rStyle w:val="Hyperlink"/>
            <w:rFonts w:ascii="Times New Roman" w:hAnsi="Times New Roman" w:cs="Times New Roman"/>
            <w:color w:val="auto"/>
            <w:sz w:val="24"/>
            <w:szCs w:val="24"/>
            <w:u w:val="none"/>
          </w:rPr>
          <w:t>Article 323A</w:t>
        </w:r>
      </w:hyperlink>
      <w:r w:rsidR="001C7A8B" w:rsidRPr="00361499">
        <w:rPr>
          <w:rFonts w:ascii="Times New Roman" w:hAnsi="Times New Roman" w:cs="Times New Roman"/>
          <w:sz w:val="24"/>
          <w:szCs w:val="24"/>
        </w:rPr>
        <w:t> </w:t>
      </w:r>
      <w:r w:rsidR="00361499">
        <w:rPr>
          <w:rFonts w:ascii="Times New Roman" w:hAnsi="Times New Roman" w:cs="Times New Roman"/>
          <w:sz w:val="24"/>
          <w:szCs w:val="24"/>
        </w:rPr>
        <w:t xml:space="preserve">(1) </w:t>
      </w:r>
      <w:r w:rsidR="001C7A8B" w:rsidRPr="00361499">
        <w:rPr>
          <w:rFonts w:ascii="Times New Roman" w:hAnsi="Times New Roman" w:cs="Times New Roman"/>
          <w:sz w:val="24"/>
          <w:szCs w:val="24"/>
        </w:rPr>
        <w:t xml:space="preserve">or with regard to all or any of the matters specified in </w:t>
      </w:r>
      <w:hyperlink r:id="rId14" w:history="1">
        <w:r w:rsidR="001C7A8B" w:rsidRPr="00361499">
          <w:rPr>
            <w:rStyle w:val="Hyperlink"/>
            <w:rFonts w:ascii="Times New Roman" w:hAnsi="Times New Roman" w:cs="Times New Roman"/>
            <w:color w:val="auto"/>
            <w:sz w:val="24"/>
            <w:szCs w:val="24"/>
            <w:u w:val="none"/>
          </w:rPr>
          <w:t>Article 323B</w:t>
        </w:r>
      </w:hyperlink>
      <w:r w:rsidR="00361499">
        <w:rPr>
          <w:rFonts w:ascii="Times New Roman" w:hAnsi="Times New Roman" w:cs="Times New Roman"/>
          <w:sz w:val="24"/>
          <w:szCs w:val="24"/>
        </w:rPr>
        <w:t xml:space="preserve"> (2)</w:t>
      </w:r>
      <w:r w:rsidR="001C7A8B" w:rsidRPr="00361499">
        <w:rPr>
          <w:rFonts w:ascii="Times New Roman" w:hAnsi="Times New Roman" w:cs="Times New Roman"/>
          <w:sz w:val="24"/>
          <w:szCs w:val="24"/>
        </w:rPr>
        <w:t>, runs counter to the power of judicial rev</w:t>
      </w:r>
      <w:r w:rsidR="00361499">
        <w:rPr>
          <w:rFonts w:ascii="Times New Roman" w:hAnsi="Times New Roman" w:cs="Times New Roman"/>
          <w:sz w:val="24"/>
          <w:szCs w:val="24"/>
        </w:rPr>
        <w:t>iew conferred on the High Court</w:t>
      </w:r>
      <w:r w:rsidR="001C7A8B" w:rsidRPr="00361499">
        <w:rPr>
          <w:rFonts w:ascii="Times New Roman" w:hAnsi="Times New Roman" w:cs="Times New Roman"/>
          <w:sz w:val="24"/>
          <w:szCs w:val="24"/>
        </w:rPr>
        <w:t xml:space="preserve"> under Articles 226</w:t>
      </w:r>
      <w:r w:rsidR="00361499">
        <w:rPr>
          <w:rFonts w:ascii="Times New Roman" w:hAnsi="Times New Roman" w:cs="Times New Roman"/>
          <w:sz w:val="24"/>
          <w:szCs w:val="24"/>
        </w:rPr>
        <w:t xml:space="preserve"> or </w:t>
      </w:r>
      <w:r w:rsidR="001C7A8B" w:rsidRPr="00361499">
        <w:rPr>
          <w:rFonts w:ascii="Times New Roman" w:hAnsi="Times New Roman" w:cs="Times New Roman"/>
          <w:sz w:val="24"/>
          <w:szCs w:val="24"/>
        </w:rPr>
        <w:t>227 and on the Supreme Court under </w:t>
      </w:r>
      <w:hyperlink r:id="rId15" w:history="1">
        <w:r w:rsidR="001C7A8B" w:rsidRPr="00361499">
          <w:rPr>
            <w:rStyle w:val="Hyperlink"/>
            <w:rFonts w:ascii="Times New Roman" w:hAnsi="Times New Roman" w:cs="Times New Roman"/>
            <w:color w:val="auto"/>
            <w:sz w:val="24"/>
            <w:szCs w:val="24"/>
            <w:u w:val="none"/>
          </w:rPr>
          <w:t>Article 32</w:t>
        </w:r>
      </w:hyperlink>
      <w:r w:rsidR="001C7A8B" w:rsidRPr="00361499">
        <w:rPr>
          <w:rFonts w:ascii="Times New Roman" w:hAnsi="Times New Roman" w:cs="Times New Roman"/>
          <w:sz w:val="24"/>
          <w:szCs w:val="24"/>
        </w:rPr>
        <w:t> of the Constitution?</w:t>
      </w:r>
    </w:p>
    <w:p w:rsidR="00361499" w:rsidRDefault="001C7A8B" w:rsidP="001C7A8B">
      <w:pPr>
        <w:pStyle w:val="ListParagraph"/>
        <w:numPr>
          <w:ilvl w:val="0"/>
          <w:numId w:val="2"/>
        </w:numPr>
        <w:jc w:val="both"/>
        <w:rPr>
          <w:rFonts w:ascii="Times New Roman" w:hAnsi="Times New Roman" w:cs="Times New Roman"/>
          <w:sz w:val="24"/>
          <w:szCs w:val="24"/>
        </w:rPr>
      </w:pPr>
      <w:r w:rsidRPr="00361499">
        <w:rPr>
          <w:rFonts w:ascii="Times New Roman" w:hAnsi="Times New Roman" w:cs="Times New Roman"/>
          <w:sz w:val="24"/>
          <w:szCs w:val="24"/>
        </w:rPr>
        <w:t>Whether the Tribunals, constituted either under </w:t>
      </w:r>
      <w:hyperlink r:id="rId16" w:history="1">
        <w:r w:rsidRPr="00361499">
          <w:rPr>
            <w:rStyle w:val="Hyperlink"/>
            <w:rFonts w:ascii="Times New Roman" w:hAnsi="Times New Roman" w:cs="Times New Roman"/>
            <w:color w:val="auto"/>
            <w:sz w:val="24"/>
            <w:szCs w:val="24"/>
            <w:u w:val="none"/>
          </w:rPr>
          <w:t>Article 323A</w:t>
        </w:r>
      </w:hyperlink>
      <w:r w:rsidRPr="00361499">
        <w:rPr>
          <w:rFonts w:ascii="Times New Roman" w:hAnsi="Times New Roman" w:cs="Times New Roman"/>
          <w:sz w:val="24"/>
          <w:szCs w:val="24"/>
        </w:rPr>
        <w:t> or</w:t>
      </w:r>
      <w:r w:rsidR="00204181">
        <w:rPr>
          <w:rFonts w:ascii="Times New Roman" w:hAnsi="Times New Roman" w:cs="Times New Roman"/>
          <w:sz w:val="24"/>
          <w:szCs w:val="24"/>
        </w:rPr>
        <w:t xml:space="preserve"> under</w:t>
      </w:r>
      <w:hyperlink r:id="rId17" w:history="1">
        <w:r w:rsidRPr="00361499">
          <w:rPr>
            <w:rStyle w:val="Hyperlink"/>
            <w:rFonts w:ascii="Times New Roman" w:hAnsi="Times New Roman" w:cs="Times New Roman"/>
            <w:color w:val="auto"/>
            <w:sz w:val="24"/>
            <w:szCs w:val="24"/>
            <w:u w:val="none"/>
          </w:rPr>
          <w:t>Article 323B</w:t>
        </w:r>
      </w:hyperlink>
      <w:r w:rsidRPr="00361499">
        <w:rPr>
          <w:rFonts w:ascii="Times New Roman" w:hAnsi="Times New Roman" w:cs="Times New Roman"/>
          <w:sz w:val="24"/>
          <w:szCs w:val="24"/>
        </w:rPr>
        <w:t> of the Constitution, possess the competence to test the constitutional validity of a statutory provision?</w:t>
      </w:r>
    </w:p>
    <w:p w:rsidR="001C7A8B" w:rsidRDefault="001C7A8B" w:rsidP="001C7A8B">
      <w:pPr>
        <w:pStyle w:val="ListParagraph"/>
        <w:numPr>
          <w:ilvl w:val="0"/>
          <w:numId w:val="2"/>
        </w:numPr>
        <w:jc w:val="both"/>
        <w:rPr>
          <w:rFonts w:ascii="Times New Roman" w:hAnsi="Times New Roman" w:cs="Times New Roman"/>
          <w:sz w:val="24"/>
          <w:szCs w:val="24"/>
        </w:rPr>
      </w:pPr>
      <w:r w:rsidRPr="00361499">
        <w:rPr>
          <w:rFonts w:ascii="Times New Roman" w:hAnsi="Times New Roman" w:cs="Times New Roman"/>
          <w:sz w:val="24"/>
          <w:szCs w:val="24"/>
        </w:rPr>
        <w:t>Whether these Tribunals, as they are functioning at present, can be said to be effective substitutes for the High Courts in discharging the power of judicial review? If not, what are the changes required to make them conform to their founding objectives?</w:t>
      </w:r>
      <w:r w:rsidR="00204181">
        <w:rPr>
          <w:rFonts w:ascii="Times New Roman" w:hAnsi="Times New Roman" w:cs="Times New Roman"/>
          <w:sz w:val="24"/>
          <w:szCs w:val="24"/>
        </w:rPr>
        <w:t>”</w:t>
      </w:r>
      <w:r w:rsidR="009D6649">
        <w:rPr>
          <w:rStyle w:val="FootnoteReference"/>
          <w:rFonts w:ascii="Times New Roman" w:hAnsi="Times New Roman" w:cs="Times New Roman"/>
          <w:sz w:val="24"/>
          <w:szCs w:val="24"/>
        </w:rPr>
        <w:footnoteReference w:id="5"/>
      </w:r>
    </w:p>
    <w:p w:rsidR="00591478" w:rsidRPr="00FA0B30" w:rsidRDefault="00FA0B30" w:rsidP="00FA0B30">
      <w:pPr>
        <w:rPr>
          <w:rFonts w:ascii="Times New Roman" w:hAnsi="Times New Roman" w:cs="Times New Roman"/>
          <w:b/>
          <w:sz w:val="28"/>
          <w:szCs w:val="28"/>
        </w:rPr>
      </w:pPr>
      <w:r w:rsidRPr="00FA0B30">
        <w:rPr>
          <w:rFonts w:ascii="Times New Roman" w:hAnsi="Times New Roman" w:cs="Times New Roman"/>
          <w:b/>
          <w:sz w:val="28"/>
          <w:szCs w:val="28"/>
        </w:rPr>
        <w:t>Critical Analysis</w:t>
      </w:r>
    </w:p>
    <w:p w:rsidR="00FF6233" w:rsidRPr="00FA5B15" w:rsidRDefault="0085617E" w:rsidP="00FF6233">
      <w:pPr>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Article</w:t>
      </w:r>
      <w:r w:rsidR="004E7282">
        <w:rPr>
          <w:rFonts w:ascii="Times New Roman" w:hAnsi="Times New Roman" w:cs="Times New Roman"/>
          <w:sz w:val="24"/>
          <w:szCs w:val="24"/>
        </w:rPr>
        <w:t xml:space="preserve"> 323B </w:t>
      </w:r>
      <w:r w:rsidR="004E7282" w:rsidRPr="004E7282">
        <w:rPr>
          <w:rFonts w:ascii="Times New Roman" w:hAnsi="Times New Roman" w:cs="Times New Roman"/>
          <w:sz w:val="24"/>
          <w:szCs w:val="24"/>
        </w:rPr>
        <w:t xml:space="preserve">of the Constitution </w:t>
      </w:r>
      <w:r w:rsidR="004E7282">
        <w:rPr>
          <w:rFonts w:ascii="Times New Roman" w:hAnsi="Times New Roman" w:cs="Times New Roman"/>
          <w:sz w:val="24"/>
          <w:szCs w:val="24"/>
        </w:rPr>
        <w:t xml:space="preserve">of India </w:t>
      </w:r>
      <w:r w:rsidR="004E7282" w:rsidRPr="004E7282">
        <w:rPr>
          <w:rFonts w:ascii="Times New Roman" w:hAnsi="Times New Roman" w:cs="Times New Roman"/>
          <w:sz w:val="24"/>
          <w:szCs w:val="24"/>
        </w:rPr>
        <w:t xml:space="preserve">empowers </w:t>
      </w:r>
      <w:r w:rsidR="004E7282">
        <w:rPr>
          <w:rFonts w:ascii="Times New Roman" w:hAnsi="Times New Roman" w:cs="Times New Roman"/>
          <w:sz w:val="24"/>
          <w:szCs w:val="24"/>
        </w:rPr>
        <w:t>Central</w:t>
      </w:r>
      <w:r w:rsidR="004E7282" w:rsidRPr="004E7282">
        <w:rPr>
          <w:rFonts w:ascii="Times New Roman" w:hAnsi="Times New Roman" w:cs="Times New Roman"/>
          <w:sz w:val="24"/>
          <w:szCs w:val="24"/>
        </w:rPr>
        <w:t xml:space="preserve"> or the State Legislatures, as the case may be, to enact laws providing for the adjudication by Tribunals of disputes, complaints or offences with respect to a wide variety of matters including inter alia disputes relating to tax cases, foreign exchange matters, industrial and </w:t>
      </w:r>
      <w:r w:rsidR="00DC2CE8" w:rsidRPr="004E7282">
        <w:rPr>
          <w:rFonts w:ascii="Times New Roman" w:hAnsi="Times New Roman" w:cs="Times New Roman"/>
          <w:sz w:val="24"/>
          <w:szCs w:val="24"/>
        </w:rPr>
        <w:t>labor</w:t>
      </w:r>
      <w:r w:rsidR="004E7282" w:rsidRPr="004E7282">
        <w:rPr>
          <w:rFonts w:ascii="Times New Roman" w:hAnsi="Times New Roman" w:cs="Times New Roman"/>
          <w:sz w:val="24"/>
          <w:szCs w:val="24"/>
        </w:rPr>
        <w:t xml:space="preserve"> cases, ceiling on urban property, election to State Legislatures and Parliament, essential goods and their distr</w:t>
      </w:r>
      <w:r w:rsidR="004E7282">
        <w:rPr>
          <w:rFonts w:ascii="Times New Roman" w:hAnsi="Times New Roman" w:cs="Times New Roman"/>
          <w:sz w:val="24"/>
          <w:szCs w:val="24"/>
        </w:rPr>
        <w:t>ibution, criminal offences etc., as mentioned under Clause (2).</w:t>
      </w:r>
      <w:r w:rsidR="00F72783" w:rsidRPr="00FF6233">
        <w:rPr>
          <w:rFonts w:ascii="Times New Roman" w:hAnsi="Times New Roman" w:cs="Times New Roman"/>
          <w:sz w:val="24"/>
          <w:szCs w:val="24"/>
        </w:rPr>
        <w:fldChar w:fldCharType="begin"/>
      </w:r>
      <w:r w:rsidR="00FF6233" w:rsidRPr="00FF6233">
        <w:rPr>
          <w:rFonts w:ascii="Times New Roman" w:hAnsi="Times New Roman" w:cs="Times New Roman"/>
          <w:sz w:val="24"/>
          <w:szCs w:val="24"/>
        </w:rPr>
        <w:instrText xml:space="preserve"> HYPERLINK "https://indiankanoon.org/doc/168847478/" </w:instrText>
      </w:r>
      <w:r w:rsidR="00F72783" w:rsidRPr="00FF6233">
        <w:rPr>
          <w:rFonts w:ascii="Times New Roman" w:hAnsi="Times New Roman" w:cs="Times New Roman"/>
          <w:sz w:val="24"/>
          <w:szCs w:val="24"/>
        </w:rPr>
        <w:fldChar w:fldCharType="separate"/>
      </w:r>
    </w:p>
    <w:p w:rsidR="00FF6233" w:rsidRDefault="00FF6233" w:rsidP="00FF6233">
      <w:pPr>
        <w:jc w:val="both"/>
        <w:rPr>
          <w:rFonts w:ascii="Times New Roman" w:hAnsi="Times New Roman" w:cs="Times New Roman"/>
          <w:sz w:val="24"/>
          <w:szCs w:val="24"/>
        </w:rPr>
      </w:pPr>
      <w:r w:rsidRPr="00367E14">
        <w:rPr>
          <w:rStyle w:val="Hyperlink"/>
          <w:rFonts w:ascii="Times New Roman" w:hAnsi="Times New Roman" w:cs="Times New Roman"/>
          <w:b/>
          <w:color w:val="auto"/>
          <w:sz w:val="24"/>
          <w:szCs w:val="24"/>
          <w:u w:val="none"/>
        </w:rPr>
        <w:t>R.Ramar v</w:t>
      </w:r>
      <w:r w:rsidR="00CE2333" w:rsidRPr="00367E14">
        <w:rPr>
          <w:rStyle w:val="Hyperlink"/>
          <w:rFonts w:ascii="Times New Roman" w:hAnsi="Times New Roman" w:cs="Times New Roman"/>
          <w:b/>
          <w:color w:val="auto"/>
          <w:sz w:val="24"/>
          <w:szCs w:val="24"/>
          <w:u w:val="none"/>
        </w:rPr>
        <w:t>.</w:t>
      </w:r>
      <w:r w:rsidRPr="00367E14">
        <w:rPr>
          <w:rStyle w:val="Hyperlink"/>
          <w:rFonts w:ascii="Times New Roman" w:hAnsi="Times New Roman" w:cs="Times New Roman"/>
          <w:b/>
          <w:color w:val="auto"/>
          <w:sz w:val="24"/>
          <w:szCs w:val="24"/>
          <w:u w:val="none"/>
        </w:rPr>
        <w:t xml:space="preserve"> The Secretary </w:t>
      </w:r>
      <w:r w:rsidR="00FA5B15" w:rsidRPr="00367E14">
        <w:rPr>
          <w:rStyle w:val="Hyperlink"/>
          <w:rFonts w:ascii="Times New Roman" w:hAnsi="Times New Roman" w:cs="Times New Roman"/>
          <w:b/>
          <w:color w:val="auto"/>
          <w:sz w:val="24"/>
          <w:szCs w:val="24"/>
          <w:u w:val="none"/>
        </w:rPr>
        <w:t>t</w:t>
      </w:r>
      <w:r w:rsidRPr="00367E14">
        <w:rPr>
          <w:rStyle w:val="Hyperlink"/>
          <w:rFonts w:ascii="Times New Roman" w:hAnsi="Times New Roman" w:cs="Times New Roman"/>
          <w:b/>
          <w:color w:val="auto"/>
          <w:sz w:val="24"/>
          <w:szCs w:val="24"/>
          <w:u w:val="none"/>
        </w:rPr>
        <w:t>o Government</w:t>
      </w:r>
      <w:r w:rsidR="00F72783" w:rsidRPr="00FF6233">
        <w:rPr>
          <w:rFonts w:ascii="Times New Roman" w:hAnsi="Times New Roman" w:cs="Times New Roman"/>
          <w:sz w:val="24"/>
          <w:szCs w:val="24"/>
        </w:rPr>
        <w:fldChar w:fldCharType="end"/>
      </w:r>
      <w:r w:rsidR="00CE2333">
        <w:rPr>
          <w:rStyle w:val="FootnoteReference"/>
          <w:rFonts w:ascii="Times New Roman" w:hAnsi="Times New Roman" w:cs="Times New Roman"/>
          <w:sz w:val="24"/>
          <w:szCs w:val="24"/>
        </w:rPr>
        <w:footnoteReference w:id="6"/>
      </w:r>
      <w:r w:rsidRPr="00FF6233">
        <w:rPr>
          <w:rFonts w:ascii="Times New Roman" w:hAnsi="Times New Roman" w:cs="Times New Roman"/>
          <w:sz w:val="24"/>
          <w:szCs w:val="24"/>
        </w:rPr>
        <w:t xml:space="preserve">seeks to challenge a judgment of the Madras High </w:t>
      </w:r>
      <w:r w:rsidR="0085617E" w:rsidRPr="00FF6233">
        <w:rPr>
          <w:rFonts w:ascii="Times New Roman" w:hAnsi="Times New Roman" w:cs="Times New Roman"/>
          <w:sz w:val="24"/>
          <w:szCs w:val="24"/>
        </w:rPr>
        <w:t>Court, which</w:t>
      </w:r>
      <w:r w:rsidRPr="00FF6233">
        <w:rPr>
          <w:rFonts w:ascii="Times New Roman" w:hAnsi="Times New Roman" w:cs="Times New Roman"/>
          <w:sz w:val="24"/>
          <w:szCs w:val="24"/>
        </w:rPr>
        <w:t xml:space="preserve"> has held that the establishment of the Tamil Nadu Land Reforms Special Appellate Tribunal will not affect the powers of the Madras High Court to issue writs. This decision is based on the reasoning that the Legislature of the State had </w:t>
      </w:r>
      <w:r w:rsidR="00FA5B15">
        <w:rPr>
          <w:rFonts w:ascii="Times New Roman" w:hAnsi="Times New Roman" w:cs="Times New Roman"/>
          <w:sz w:val="24"/>
          <w:szCs w:val="24"/>
        </w:rPr>
        <w:t>“</w:t>
      </w:r>
      <w:r w:rsidRPr="00FF6233">
        <w:rPr>
          <w:rFonts w:ascii="Times New Roman" w:hAnsi="Times New Roman" w:cs="Times New Roman"/>
          <w:sz w:val="24"/>
          <w:szCs w:val="24"/>
        </w:rPr>
        <w:t>no power</w:t>
      </w:r>
      <w:r w:rsidR="00FA5B15">
        <w:rPr>
          <w:rFonts w:ascii="Times New Roman" w:hAnsi="Times New Roman" w:cs="Times New Roman"/>
          <w:sz w:val="24"/>
          <w:szCs w:val="24"/>
        </w:rPr>
        <w:t>”</w:t>
      </w:r>
      <w:r w:rsidRPr="00FF6233">
        <w:rPr>
          <w:rFonts w:ascii="Times New Roman" w:hAnsi="Times New Roman" w:cs="Times New Roman"/>
          <w:sz w:val="24"/>
          <w:szCs w:val="24"/>
        </w:rPr>
        <w:t xml:space="preserve"> to infringe upon the High Courts' powers to issue writs under </w:t>
      </w:r>
      <w:hyperlink r:id="rId18" w:history="1">
        <w:r w:rsidRPr="00FA5B15">
          <w:rPr>
            <w:rStyle w:val="Hyperlink"/>
            <w:rFonts w:ascii="Times New Roman" w:hAnsi="Times New Roman" w:cs="Times New Roman"/>
            <w:color w:val="auto"/>
            <w:sz w:val="24"/>
            <w:szCs w:val="24"/>
            <w:u w:val="none"/>
          </w:rPr>
          <w:t>Article 226</w:t>
        </w:r>
      </w:hyperlink>
      <w:r w:rsidRPr="00FA5B15">
        <w:rPr>
          <w:rFonts w:ascii="Times New Roman" w:hAnsi="Times New Roman" w:cs="Times New Roman"/>
          <w:sz w:val="24"/>
          <w:szCs w:val="24"/>
        </w:rPr>
        <w:t> </w:t>
      </w:r>
      <w:r w:rsidRPr="00FF6233">
        <w:rPr>
          <w:rFonts w:ascii="Times New Roman" w:hAnsi="Times New Roman" w:cs="Times New Roman"/>
          <w:sz w:val="24"/>
          <w:szCs w:val="24"/>
        </w:rPr>
        <w:t>of the Constitution and to exercise its powers of superintendence under </w:t>
      </w:r>
      <w:hyperlink r:id="rId19" w:history="1">
        <w:r w:rsidRPr="00FA5B15">
          <w:rPr>
            <w:rStyle w:val="Hyperlink"/>
            <w:rFonts w:ascii="Times New Roman" w:hAnsi="Times New Roman" w:cs="Times New Roman"/>
            <w:color w:val="auto"/>
            <w:sz w:val="24"/>
            <w:szCs w:val="24"/>
            <w:u w:val="none"/>
          </w:rPr>
          <w:t>Article 227</w:t>
        </w:r>
      </w:hyperlink>
      <w:r w:rsidR="00FA5B15">
        <w:rPr>
          <w:rFonts w:ascii="Times New Roman" w:hAnsi="Times New Roman" w:cs="Times New Roman"/>
          <w:sz w:val="24"/>
          <w:szCs w:val="24"/>
        </w:rPr>
        <w:t> of the Constitution.</w:t>
      </w:r>
    </w:p>
    <w:p w:rsidR="004E7282" w:rsidRDefault="004E7282" w:rsidP="004E7282">
      <w:pPr>
        <w:jc w:val="both"/>
        <w:rPr>
          <w:rFonts w:ascii="Times New Roman" w:hAnsi="Times New Roman" w:cs="Times New Roman"/>
          <w:sz w:val="24"/>
          <w:szCs w:val="24"/>
        </w:rPr>
      </w:pPr>
      <w:r>
        <w:rPr>
          <w:rFonts w:ascii="Times New Roman" w:hAnsi="Times New Roman" w:cs="Times New Roman"/>
          <w:sz w:val="24"/>
          <w:szCs w:val="24"/>
        </w:rPr>
        <w:t xml:space="preserve">Issues arose in </w:t>
      </w:r>
      <w:r w:rsidRPr="004E7282">
        <w:rPr>
          <w:rFonts w:ascii="Times New Roman" w:hAnsi="Times New Roman" w:cs="Times New Roman"/>
          <w:sz w:val="24"/>
          <w:szCs w:val="24"/>
        </w:rPr>
        <w:t>functioning of these Tribunals especially in respect of the manner in which they exclude</w:t>
      </w:r>
      <w:r>
        <w:rPr>
          <w:rFonts w:ascii="Times New Roman" w:hAnsi="Times New Roman" w:cs="Times New Roman"/>
          <w:sz w:val="24"/>
          <w:szCs w:val="24"/>
        </w:rPr>
        <w:t>d</w:t>
      </w:r>
      <w:r w:rsidRPr="004E7282">
        <w:rPr>
          <w:rFonts w:ascii="Times New Roman" w:hAnsi="Times New Roman" w:cs="Times New Roman"/>
          <w:sz w:val="24"/>
          <w:szCs w:val="24"/>
        </w:rPr>
        <w:t xml:space="preserve"> the jurisdiction of the High Courts</w:t>
      </w:r>
      <w:r>
        <w:rPr>
          <w:rFonts w:ascii="Times New Roman" w:hAnsi="Times New Roman" w:cs="Times New Roman"/>
          <w:sz w:val="24"/>
          <w:szCs w:val="24"/>
        </w:rPr>
        <w:t xml:space="preserve"> of their respective States</w:t>
      </w:r>
      <w:r w:rsidRPr="004E7282">
        <w:rPr>
          <w:rFonts w:ascii="Times New Roman" w:hAnsi="Times New Roman" w:cs="Times New Roman"/>
          <w:sz w:val="24"/>
          <w:szCs w:val="24"/>
        </w:rPr>
        <w:t>. </w:t>
      </w:r>
    </w:p>
    <w:p w:rsidR="004E7282" w:rsidRPr="004E7282" w:rsidRDefault="00FF6233" w:rsidP="004E7282">
      <w:pPr>
        <w:jc w:val="both"/>
        <w:rPr>
          <w:rFonts w:ascii="Times New Roman" w:hAnsi="Times New Roman" w:cs="Times New Roman"/>
          <w:sz w:val="24"/>
          <w:szCs w:val="24"/>
        </w:rPr>
      </w:pPr>
      <w:r w:rsidRPr="00FF6233">
        <w:rPr>
          <w:rFonts w:ascii="Times New Roman" w:hAnsi="Times New Roman" w:cs="Times New Roman"/>
          <w:sz w:val="24"/>
          <w:szCs w:val="24"/>
        </w:rPr>
        <w:t xml:space="preserve">In </w:t>
      </w:r>
      <w:r w:rsidRPr="00367E14">
        <w:rPr>
          <w:rFonts w:ascii="Times New Roman" w:hAnsi="Times New Roman" w:cs="Times New Roman"/>
          <w:b/>
          <w:sz w:val="24"/>
          <w:szCs w:val="24"/>
        </w:rPr>
        <w:t xml:space="preserve">J.B. Chopra and Ors v. </w:t>
      </w:r>
      <w:r w:rsidR="000A1C98">
        <w:rPr>
          <w:rFonts w:ascii="Times New Roman" w:hAnsi="Times New Roman" w:cs="Times New Roman"/>
          <w:b/>
          <w:sz w:val="24"/>
          <w:szCs w:val="24"/>
        </w:rPr>
        <w:t xml:space="preserve">Union of </w:t>
      </w:r>
      <w:r w:rsidR="00204181">
        <w:rPr>
          <w:rFonts w:ascii="Times New Roman" w:hAnsi="Times New Roman" w:cs="Times New Roman"/>
          <w:b/>
          <w:sz w:val="24"/>
          <w:szCs w:val="24"/>
        </w:rPr>
        <w:t>India</w:t>
      </w:r>
      <w:r>
        <w:rPr>
          <w:rStyle w:val="FootnoteReference"/>
          <w:rFonts w:ascii="Times New Roman" w:hAnsi="Times New Roman" w:cs="Times New Roman"/>
          <w:sz w:val="24"/>
          <w:szCs w:val="24"/>
        </w:rPr>
        <w:footnoteReference w:id="7"/>
      </w:r>
      <w:r w:rsidRPr="00FF6233">
        <w:rPr>
          <w:rFonts w:ascii="Times New Roman" w:hAnsi="Times New Roman" w:cs="Times New Roman"/>
          <w:sz w:val="24"/>
          <w:szCs w:val="24"/>
        </w:rPr>
        <w:t>, a Division Bench of the Supreme Court held that “</w:t>
      </w:r>
      <w:r>
        <w:rPr>
          <w:rFonts w:ascii="Times New Roman" w:hAnsi="Times New Roman" w:cs="Times New Roman"/>
          <w:sz w:val="24"/>
          <w:szCs w:val="24"/>
        </w:rPr>
        <w:t>t</w:t>
      </w:r>
      <w:r w:rsidRPr="00FF6233">
        <w:rPr>
          <w:rFonts w:ascii="Times New Roman" w:hAnsi="Times New Roman" w:cs="Times New Roman"/>
          <w:sz w:val="24"/>
          <w:szCs w:val="24"/>
        </w:rPr>
        <w:t>he Administrative Tribunal being a substitute power of the High Court had the necessary jurisdiction, power and authority to adjudicate upon all disputes relating to service matters including the power to deal with all questions pertaining to the Constitutional validity or otherwise of such laws as offending Articles 14 and 16(1) of the Constitution.”</w:t>
      </w:r>
    </w:p>
    <w:p w:rsidR="00591478" w:rsidRPr="00591478" w:rsidRDefault="00591478" w:rsidP="00591478">
      <w:pPr>
        <w:jc w:val="both"/>
        <w:rPr>
          <w:rFonts w:ascii="Times New Roman" w:hAnsi="Times New Roman" w:cs="Times New Roman"/>
          <w:sz w:val="24"/>
        </w:rPr>
      </w:pPr>
      <w:r w:rsidRPr="00591478">
        <w:rPr>
          <w:rFonts w:ascii="Times New Roman" w:hAnsi="Times New Roman" w:cs="Times New Roman"/>
          <w:sz w:val="24"/>
        </w:rPr>
        <w:t>In a separate but concurring judgment, Ahmadi, J. (as he then was) speaking for himself and Punchhi, J., endorsed the recommendations in the following words:</w:t>
      </w:r>
    </w:p>
    <w:p w:rsidR="00591478" w:rsidRDefault="00591478" w:rsidP="00591478">
      <w:pPr>
        <w:jc w:val="both"/>
        <w:rPr>
          <w:rFonts w:ascii="Times New Roman" w:hAnsi="Times New Roman" w:cs="Times New Roman"/>
          <w:sz w:val="24"/>
        </w:rPr>
      </w:pPr>
      <w:r w:rsidRPr="00591478">
        <w:rPr>
          <w:rFonts w:ascii="Times New Roman" w:hAnsi="Times New Roman" w:cs="Times New Roman"/>
          <w:sz w:val="24"/>
        </w:rPr>
        <w:t xml:space="preserve">“The time is ripe for taking stock of the working of the various Tribunals set up in the country after the insertion of Articles 323A and 323B in the Constitution. A sound justice delivery system is a </w:t>
      </w:r>
      <w:r w:rsidRPr="00591478">
        <w:rPr>
          <w:rFonts w:ascii="Times New Roman" w:hAnsi="Times New Roman" w:cs="Times New Roman"/>
          <w:i/>
          <w:sz w:val="24"/>
        </w:rPr>
        <w:t>sine qua non</w:t>
      </w:r>
      <w:r w:rsidRPr="00591478">
        <w:rPr>
          <w:rFonts w:ascii="Times New Roman" w:hAnsi="Times New Roman" w:cs="Times New Roman"/>
          <w:sz w:val="24"/>
        </w:rPr>
        <w:t xml:space="preserve"> for the efficient governance of a country wedded to the rule of law. An independent and impartial justice delivery system in which the litigating public has faith and confidence alone can deliver the goods. After the incorporation of these two ar</w:t>
      </w:r>
      <w:r>
        <w:rPr>
          <w:rFonts w:ascii="Times New Roman" w:hAnsi="Times New Roman" w:cs="Times New Roman"/>
          <w:sz w:val="24"/>
        </w:rPr>
        <w:t xml:space="preserve">ticles, Acts have been enacted </w:t>
      </w:r>
      <w:r w:rsidR="0085617E">
        <w:rPr>
          <w:rFonts w:ascii="Times New Roman" w:hAnsi="Times New Roman" w:cs="Times New Roman"/>
          <w:sz w:val="24"/>
        </w:rPr>
        <w:t>w</w:t>
      </w:r>
      <w:r w:rsidR="0085617E" w:rsidRPr="00591478">
        <w:rPr>
          <w:rFonts w:ascii="Times New Roman" w:hAnsi="Times New Roman" w:cs="Times New Roman"/>
          <w:sz w:val="24"/>
        </w:rPr>
        <w:t>here under</w:t>
      </w:r>
      <w:r w:rsidRPr="00591478">
        <w:rPr>
          <w:rFonts w:ascii="Times New Roman" w:hAnsi="Times New Roman" w:cs="Times New Roman"/>
          <w:sz w:val="24"/>
        </w:rPr>
        <w:t xml:space="preserve"> tribunals have been constituted for dispensation of justice. Sufficient time has passed and experience gained in these last few years for taking stock of the situation with a view to finding out if they have served the purpose and objectives for which they were constituted. Complaints have been heard </w:t>
      </w:r>
      <w:r w:rsidR="0085617E" w:rsidRPr="00591478">
        <w:rPr>
          <w:rFonts w:ascii="Times New Roman" w:hAnsi="Times New Roman" w:cs="Times New Roman"/>
          <w:sz w:val="24"/>
        </w:rPr>
        <w:t>concerning</w:t>
      </w:r>
      <w:r w:rsidRPr="00591478">
        <w:rPr>
          <w:rFonts w:ascii="Times New Roman" w:hAnsi="Times New Roman" w:cs="Times New Roman"/>
          <w:sz w:val="24"/>
        </w:rPr>
        <w:t xml:space="preserve"> the functioning of other tribunals as well and it is time that a body like the Law Commission of India has a comprehensive look-in with a view to suggesting measures for their improved functioning. That body can also suggest changes in the different statutes and evolve a model on the basis whereof tribunals may be constituted or reconstituted with a view to ensuring greater independence. An intensive and extensive study needs to be undertaken by the Law Commission </w:t>
      </w:r>
      <w:r w:rsidR="0085617E" w:rsidRPr="00591478">
        <w:rPr>
          <w:rFonts w:ascii="Times New Roman" w:hAnsi="Times New Roman" w:cs="Times New Roman"/>
          <w:sz w:val="24"/>
        </w:rPr>
        <w:t>concerning</w:t>
      </w:r>
      <w:r w:rsidRPr="00591478">
        <w:rPr>
          <w:rFonts w:ascii="Times New Roman" w:hAnsi="Times New Roman" w:cs="Times New Roman"/>
          <w:sz w:val="24"/>
        </w:rPr>
        <w:t xml:space="preserve"> the Constitution of tribunals under </w:t>
      </w:r>
      <w:r w:rsidRPr="00591478">
        <w:rPr>
          <w:rFonts w:ascii="Times New Roman" w:hAnsi="Times New Roman" w:cs="Times New Roman"/>
          <w:sz w:val="24"/>
        </w:rPr>
        <w:lastRenderedPageBreak/>
        <w:t>various statutes with a view to ensuring their independence so that the public confidence in such tribunals may increase and the quality of their performance may improve. We strongly recommend to the Law Commission of India to undertake such an exercise on priority basis. A copy of this judgment may be forwarded by the Registrar of this Court to the Member Secretary of the Commission for immediate action.”</w:t>
      </w:r>
    </w:p>
    <w:p w:rsidR="00FA5B15" w:rsidRDefault="00FA5B15" w:rsidP="00591478">
      <w:pPr>
        <w:jc w:val="both"/>
        <w:rPr>
          <w:rFonts w:ascii="Times New Roman" w:hAnsi="Times New Roman" w:cs="Times New Roman"/>
          <w:sz w:val="24"/>
        </w:rPr>
      </w:pPr>
      <w:r w:rsidRPr="00FA5B15">
        <w:rPr>
          <w:rFonts w:ascii="Times New Roman" w:hAnsi="Times New Roman" w:cs="Times New Roman"/>
          <w:sz w:val="24"/>
        </w:rPr>
        <w:t>The 42</w:t>
      </w:r>
      <w:r w:rsidRPr="00FA5B15">
        <w:rPr>
          <w:rFonts w:ascii="Times New Roman" w:hAnsi="Times New Roman" w:cs="Times New Roman"/>
          <w:sz w:val="24"/>
          <w:vertAlign w:val="superscript"/>
        </w:rPr>
        <w:t>nd</w:t>
      </w:r>
      <w:r w:rsidRPr="00FA5B15">
        <w:rPr>
          <w:rFonts w:ascii="Times New Roman" w:hAnsi="Times New Roman" w:cs="Times New Roman"/>
          <w:sz w:val="24"/>
        </w:rPr>
        <w:t xml:space="preserve"> Amendment to the Constitution</w:t>
      </w:r>
      <w:r>
        <w:rPr>
          <w:rFonts w:ascii="Times New Roman" w:hAnsi="Times New Roman" w:cs="Times New Roman"/>
          <w:sz w:val="24"/>
        </w:rPr>
        <w:t xml:space="preserve"> of India was</w:t>
      </w:r>
      <w:r w:rsidRPr="00FA5B15">
        <w:rPr>
          <w:rFonts w:ascii="Times New Roman" w:hAnsi="Times New Roman" w:cs="Times New Roman"/>
          <w:sz w:val="24"/>
        </w:rPr>
        <w:t xml:space="preserve"> motivated by a feeling of </w:t>
      </w:r>
      <w:r>
        <w:rPr>
          <w:rFonts w:ascii="Times New Roman" w:hAnsi="Times New Roman" w:cs="Times New Roman"/>
          <w:sz w:val="24"/>
        </w:rPr>
        <w:t>skepticism</w:t>
      </w:r>
      <w:r w:rsidRPr="00FA5B15">
        <w:rPr>
          <w:rFonts w:ascii="Times New Roman" w:hAnsi="Times New Roman" w:cs="Times New Roman"/>
          <w:sz w:val="24"/>
        </w:rPr>
        <w:t xml:space="preserve"> towards the established judicial institutions</w:t>
      </w:r>
      <w:r>
        <w:rPr>
          <w:rFonts w:ascii="Times New Roman" w:hAnsi="Times New Roman" w:cs="Times New Roman"/>
          <w:sz w:val="24"/>
        </w:rPr>
        <w:t xml:space="preserve"> and</w:t>
      </w:r>
      <w:r w:rsidR="0085617E" w:rsidRPr="00FA5B15">
        <w:rPr>
          <w:rFonts w:ascii="Times New Roman" w:hAnsi="Times New Roman" w:cs="Times New Roman"/>
          <w:sz w:val="24"/>
        </w:rPr>
        <w:t>sought to</w:t>
      </w:r>
      <w:r w:rsidRPr="00FA5B15">
        <w:rPr>
          <w:rFonts w:ascii="Times New Roman" w:hAnsi="Times New Roman" w:cs="Times New Roman"/>
          <w:sz w:val="24"/>
        </w:rPr>
        <w:t xml:space="preserve"> divest constitutional courts of their jurisdiction. The aim was to vest such constitutional jurisdiction in creatures whose establishment and functioning could be controlled by the executive. </w:t>
      </w:r>
    </w:p>
    <w:p w:rsidR="00261F03" w:rsidRDefault="00FA5B15" w:rsidP="00591478">
      <w:pPr>
        <w:jc w:val="both"/>
        <w:rPr>
          <w:rFonts w:ascii="Times New Roman" w:hAnsi="Times New Roman" w:cs="Times New Roman"/>
          <w:sz w:val="24"/>
        </w:rPr>
      </w:pPr>
      <w:r w:rsidRPr="00FA5B15">
        <w:rPr>
          <w:rFonts w:ascii="Times New Roman" w:hAnsi="Times New Roman" w:cs="Times New Roman"/>
          <w:sz w:val="24"/>
        </w:rPr>
        <w:t>The validity of the impugned provisions has to be determined irrespective of the manner in which the power conferred by them has been exercised. In Sampath Kumar's case, this Court restricted its enquiry to the Act, which did not oust the jurisdiction under </w:t>
      </w:r>
      <w:hyperlink r:id="rId20" w:history="1">
        <w:r w:rsidRPr="00FA5B15">
          <w:rPr>
            <w:rStyle w:val="Hyperlink"/>
            <w:rFonts w:ascii="Times New Roman" w:hAnsi="Times New Roman" w:cs="Times New Roman"/>
            <w:color w:val="auto"/>
            <w:sz w:val="24"/>
            <w:u w:val="none"/>
          </w:rPr>
          <w:t>Article 32</w:t>
        </w:r>
      </w:hyperlink>
      <w:r w:rsidRPr="00FA5B15">
        <w:rPr>
          <w:rFonts w:ascii="Times New Roman" w:hAnsi="Times New Roman" w:cs="Times New Roman"/>
          <w:sz w:val="24"/>
        </w:rPr>
        <w:t>, and did not explore the larger issue of the constitutionality of </w:t>
      </w:r>
      <w:hyperlink r:id="rId21" w:history="1">
        <w:r w:rsidRPr="00FA5B15">
          <w:rPr>
            <w:rStyle w:val="Hyperlink"/>
            <w:rFonts w:ascii="Times New Roman" w:hAnsi="Times New Roman" w:cs="Times New Roman"/>
            <w:color w:val="auto"/>
            <w:sz w:val="24"/>
            <w:u w:val="none"/>
          </w:rPr>
          <w:t>Article 323A (2)(d</w:t>
        </w:r>
      </w:hyperlink>
      <w:r>
        <w:rPr>
          <w:rFonts w:ascii="Times New Roman" w:hAnsi="Times New Roman" w:cs="Times New Roman"/>
          <w:sz w:val="24"/>
        </w:rPr>
        <w:t>)</w:t>
      </w:r>
      <w:r w:rsidRPr="00FA5B15">
        <w:rPr>
          <w:rFonts w:ascii="Times New Roman" w:hAnsi="Times New Roman" w:cs="Times New Roman"/>
          <w:sz w:val="24"/>
        </w:rPr>
        <w:t xml:space="preserve">. The correct test is to square the provision against the constitutional scheme and then </w:t>
      </w:r>
      <w:r>
        <w:rPr>
          <w:rFonts w:ascii="Times New Roman" w:hAnsi="Times New Roman" w:cs="Times New Roman"/>
          <w:sz w:val="24"/>
        </w:rPr>
        <w:t>state</w:t>
      </w:r>
      <w:r w:rsidRPr="00FA5B15">
        <w:rPr>
          <w:rFonts w:ascii="Times New Roman" w:hAnsi="Times New Roman" w:cs="Times New Roman"/>
          <w:sz w:val="24"/>
        </w:rPr>
        <w:t xml:space="preserve"> upon its compatibility. The vice in </w:t>
      </w:r>
      <w:hyperlink r:id="rId22" w:history="1">
        <w:r w:rsidRPr="00FA5B15">
          <w:rPr>
            <w:rStyle w:val="Hyperlink"/>
            <w:rFonts w:ascii="Times New Roman" w:hAnsi="Times New Roman" w:cs="Times New Roman"/>
            <w:color w:val="auto"/>
            <w:sz w:val="24"/>
            <w:u w:val="none"/>
          </w:rPr>
          <w:t>the</w:t>
        </w:r>
      </w:hyperlink>
      <w:r>
        <w:rPr>
          <w:rFonts w:ascii="Times New Roman" w:hAnsi="Times New Roman" w:cs="Times New Roman"/>
          <w:sz w:val="24"/>
        </w:rPr>
        <w:t xml:space="preserve"> said </w:t>
      </w:r>
      <w:r w:rsidR="0085617E">
        <w:rPr>
          <w:rFonts w:ascii="Times New Roman" w:hAnsi="Times New Roman" w:cs="Times New Roman"/>
          <w:sz w:val="24"/>
        </w:rPr>
        <w:t>Article</w:t>
      </w:r>
      <w:r w:rsidR="0085617E" w:rsidRPr="00FA5B15">
        <w:rPr>
          <w:rFonts w:ascii="Times New Roman" w:hAnsi="Times New Roman" w:cs="Times New Roman"/>
          <w:sz w:val="24"/>
        </w:rPr>
        <w:t xml:space="preserve"> is</w:t>
      </w:r>
      <w:r w:rsidRPr="00FA5B15">
        <w:rPr>
          <w:rFonts w:ascii="Times New Roman" w:hAnsi="Times New Roman" w:cs="Times New Roman"/>
          <w:sz w:val="24"/>
        </w:rPr>
        <w:t xml:space="preserve"> that it permits Parliament to enact, at a future date, a law to exclude the jurisdiction of this Court under </w:t>
      </w:r>
      <w:hyperlink r:id="rId23" w:history="1">
        <w:r w:rsidRPr="00FA5B15">
          <w:rPr>
            <w:rStyle w:val="Hyperlink"/>
            <w:rFonts w:ascii="Times New Roman" w:hAnsi="Times New Roman" w:cs="Times New Roman"/>
            <w:color w:val="auto"/>
            <w:sz w:val="24"/>
            <w:u w:val="none"/>
          </w:rPr>
          <w:t>Article 32</w:t>
        </w:r>
        <w:r w:rsidRPr="00FA5B15">
          <w:rPr>
            <w:rStyle w:val="Hyperlink"/>
            <w:rFonts w:ascii="Times New Roman" w:hAnsi="Times New Roman" w:cs="Times New Roman"/>
            <w:sz w:val="24"/>
          </w:rPr>
          <w:t>.</w:t>
        </w:r>
      </w:hyperlink>
      <w:r w:rsidRPr="00FA5B15">
        <w:rPr>
          <w:rFonts w:ascii="Times New Roman" w:hAnsi="Times New Roman" w:cs="Times New Roman"/>
          <w:sz w:val="24"/>
        </w:rPr>
        <w:t xml:space="preserve"> Being possessed of such potential for unleashing constitutional </w:t>
      </w:r>
      <w:r>
        <w:rPr>
          <w:rFonts w:ascii="Times New Roman" w:hAnsi="Times New Roman" w:cs="Times New Roman"/>
          <w:sz w:val="24"/>
        </w:rPr>
        <w:t>imbalance</w:t>
      </w:r>
      <w:r w:rsidRPr="00FA5B15">
        <w:rPr>
          <w:rFonts w:ascii="Times New Roman" w:hAnsi="Times New Roman" w:cs="Times New Roman"/>
          <w:sz w:val="24"/>
        </w:rPr>
        <w:t xml:space="preserve"> in the future, its </w:t>
      </w:r>
      <w:r w:rsidR="00261F03">
        <w:rPr>
          <w:rFonts w:ascii="Times New Roman" w:hAnsi="Times New Roman" w:cs="Times New Roman"/>
          <w:sz w:val="24"/>
        </w:rPr>
        <w:t>powers</w:t>
      </w:r>
      <w:r w:rsidRPr="00FA5B15">
        <w:rPr>
          <w:rFonts w:ascii="Times New Roman" w:hAnsi="Times New Roman" w:cs="Times New Roman"/>
          <w:sz w:val="24"/>
        </w:rPr>
        <w:t xml:space="preserve"> cannot be sustained</w:t>
      </w:r>
    </w:p>
    <w:p w:rsidR="00261F03" w:rsidRDefault="00FA5B15" w:rsidP="00591478">
      <w:pPr>
        <w:jc w:val="both"/>
        <w:rPr>
          <w:rFonts w:ascii="Times New Roman" w:hAnsi="Times New Roman" w:cs="Times New Roman"/>
          <w:sz w:val="24"/>
        </w:rPr>
      </w:pPr>
      <w:r w:rsidRPr="00FA5B15">
        <w:rPr>
          <w:rFonts w:ascii="Times New Roman" w:hAnsi="Times New Roman" w:cs="Times New Roman"/>
          <w:sz w:val="24"/>
        </w:rPr>
        <w:t>The power of judicial review vested in th</w:t>
      </w:r>
      <w:r w:rsidR="00261F03">
        <w:rPr>
          <w:rFonts w:ascii="Times New Roman" w:hAnsi="Times New Roman" w:cs="Times New Roman"/>
          <w:sz w:val="24"/>
        </w:rPr>
        <w:t>e Supreme</w:t>
      </w:r>
      <w:r w:rsidRPr="00FA5B15">
        <w:rPr>
          <w:rFonts w:ascii="Times New Roman" w:hAnsi="Times New Roman" w:cs="Times New Roman"/>
          <w:sz w:val="24"/>
        </w:rPr>
        <w:t xml:space="preserve"> Court under </w:t>
      </w:r>
      <w:hyperlink r:id="rId24" w:history="1">
        <w:r w:rsidRPr="00261F03">
          <w:rPr>
            <w:rStyle w:val="Hyperlink"/>
            <w:rFonts w:ascii="Times New Roman" w:hAnsi="Times New Roman" w:cs="Times New Roman"/>
            <w:color w:val="auto"/>
            <w:sz w:val="24"/>
            <w:u w:val="none"/>
          </w:rPr>
          <w:t>Article 32</w:t>
        </w:r>
      </w:hyperlink>
      <w:r w:rsidRPr="00FA5B15">
        <w:rPr>
          <w:rFonts w:ascii="Times New Roman" w:hAnsi="Times New Roman" w:cs="Times New Roman"/>
          <w:sz w:val="24"/>
        </w:rPr>
        <w:t> and the High Court under </w:t>
      </w:r>
      <w:hyperlink r:id="rId25" w:history="1">
        <w:r w:rsidRPr="00261F03">
          <w:rPr>
            <w:rStyle w:val="Hyperlink"/>
            <w:rFonts w:ascii="Times New Roman" w:hAnsi="Times New Roman" w:cs="Times New Roman"/>
            <w:color w:val="auto"/>
            <w:sz w:val="24"/>
            <w:u w:val="none"/>
          </w:rPr>
          <w:t>Article 226</w:t>
        </w:r>
      </w:hyperlink>
      <w:r w:rsidRPr="00FA5B15">
        <w:rPr>
          <w:rFonts w:ascii="Times New Roman" w:hAnsi="Times New Roman" w:cs="Times New Roman"/>
          <w:sz w:val="24"/>
        </w:rPr>
        <w:t> is part of the basic structure of th</w:t>
      </w:r>
      <w:r w:rsidR="00261F03">
        <w:rPr>
          <w:rFonts w:ascii="Times New Roman" w:hAnsi="Times New Roman" w:cs="Times New Roman"/>
          <w:sz w:val="24"/>
        </w:rPr>
        <w:t xml:space="preserve">e Constitution as </w:t>
      </w:r>
      <w:r w:rsidRPr="00FA5B15">
        <w:rPr>
          <w:rFonts w:ascii="Times New Roman" w:hAnsi="Times New Roman" w:cs="Times New Roman"/>
          <w:sz w:val="24"/>
        </w:rPr>
        <w:t xml:space="preserve">in </w:t>
      </w:r>
      <w:r w:rsidR="00261F03" w:rsidRPr="00367E14">
        <w:rPr>
          <w:rFonts w:ascii="Times New Roman" w:hAnsi="Times New Roman" w:cs="Times New Roman"/>
          <w:b/>
          <w:bCs/>
          <w:sz w:val="24"/>
        </w:rPr>
        <w:t>Kesavananda Bharati</w:t>
      </w:r>
      <w:r w:rsidR="00261F03" w:rsidRPr="00367E14">
        <w:rPr>
          <w:rFonts w:ascii="Times New Roman" w:hAnsi="Times New Roman" w:cs="Times New Roman"/>
          <w:b/>
          <w:sz w:val="24"/>
        </w:rPr>
        <w:t> Sripadagalvaru and Ors. v. State of Kerala and Anr</w:t>
      </w:r>
      <w:r w:rsidR="00261F03" w:rsidRPr="00261F03">
        <w:rPr>
          <w:rFonts w:ascii="Times New Roman" w:hAnsi="Times New Roman" w:cs="Times New Roman"/>
          <w:sz w:val="24"/>
        </w:rPr>
        <w:t>.</w:t>
      </w:r>
      <w:r w:rsidR="00261F03">
        <w:rPr>
          <w:rStyle w:val="FootnoteReference"/>
          <w:rFonts w:ascii="Times New Roman" w:hAnsi="Times New Roman" w:cs="Times New Roman"/>
          <w:sz w:val="24"/>
        </w:rPr>
        <w:footnoteReference w:id="8"/>
      </w:r>
      <w:r w:rsidRPr="00FA5B15">
        <w:rPr>
          <w:rFonts w:ascii="Times New Roman" w:hAnsi="Times New Roman" w:cs="Times New Roman"/>
          <w:sz w:val="24"/>
        </w:rPr>
        <w:t>, </w:t>
      </w:r>
      <w:hyperlink r:id="rId26" w:history="1">
        <w:r w:rsidR="0085617E" w:rsidRPr="00367E14">
          <w:rPr>
            <w:rStyle w:val="Hyperlink"/>
            <w:rFonts w:ascii="Times New Roman" w:hAnsi="Times New Roman" w:cs="Times New Roman"/>
            <w:b/>
            <w:color w:val="auto"/>
            <w:sz w:val="24"/>
            <w:u w:val="none"/>
          </w:rPr>
          <w:t>Fertilizer</w:t>
        </w:r>
        <w:r w:rsidRPr="00367E14">
          <w:rPr>
            <w:rStyle w:val="Hyperlink"/>
            <w:rFonts w:ascii="Times New Roman" w:hAnsi="Times New Roman" w:cs="Times New Roman"/>
            <w:b/>
            <w:color w:val="auto"/>
            <w:sz w:val="24"/>
            <w:u w:val="none"/>
          </w:rPr>
          <w:t xml:space="preserve"> Corporation Kamgar Union v. </w:t>
        </w:r>
        <w:r w:rsidR="000A1C98">
          <w:rPr>
            <w:rStyle w:val="Hyperlink"/>
            <w:rFonts w:ascii="Times New Roman" w:hAnsi="Times New Roman" w:cs="Times New Roman"/>
            <w:b/>
            <w:color w:val="auto"/>
            <w:sz w:val="24"/>
            <w:u w:val="none"/>
          </w:rPr>
          <w:t xml:space="preserve">Union of </w:t>
        </w:r>
        <w:r w:rsidR="00204181">
          <w:rPr>
            <w:rStyle w:val="Hyperlink"/>
            <w:rFonts w:ascii="Times New Roman" w:hAnsi="Times New Roman" w:cs="Times New Roman"/>
            <w:b/>
            <w:color w:val="auto"/>
            <w:sz w:val="24"/>
            <w:u w:val="none"/>
          </w:rPr>
          <w:t>India</w:t>
        </w:r>
      </w:hyperlink>
      <w:r w:rsidRPr="00367E14">
        <w:rPr>
          <w:rFonts w:ascii="Times New Roman" w:hAnsi="Times New Roman" w:cs="Times New Roman"/>
          <w:b/>
          <w:sz w:val="24"/>
        </w:rPr>
        <w:t> </w:t>
      </w:r>
      <w:r w:rsidR="00261F03">
        <w:rPr>
          <w:rStyle w:val="FootnoteReference"/>
          <w:rFonts w:ascii="Times New Roman" w:hAnsi="Times New Roman" w:cs="Times New Roman"/>
          <w:sz w:val="24"/>
        </w:rPr>
        <w:footnoteReference w:id="9"/>
      </w:r>
      <w:r w:rsidRPr="00261F03">
        <w:rPr>
          <w:rFonts w:ascii="Times New Roman" w:hAnsi="Times New Roman" w:cs="Times New Roman"/>
          <w:sz w:val="24"/>
        </w:rPr>
        <w:t xml:space="preserve"> and </w:t>
      </w:r>
      <w:hyperlink r:id="rId27" w:history="1">
        <w:r w:rsidRPr="00367E14">
          <w:rPr>
            <w:rStyle w:val="Hyperlink"/>
            <w:rFonts w:ascii="Times New Roman" w:hAnsi="Times New Roman" w:cs="Times New Roman"/>
            <w:b/>
            <w:color w:val="auto"/>
            <w:sz w:val="24"/>
            <w:u w:val="none"/>
          </w:rPr>
          <w:t>Delhi Judicial Service Association v. State of Gujarat</w:t>
        </w:r>
      </w:hyperlink>
      <w:r w:rsidR="00261F03">
        <w:rPr>
          <w:rStyle w:val="FootnoteReference"/>
          <w:rFonts w:ascii="Times New Roman" w:hAnsi="Times New Roman" w:cs="Times New Roman"/>
          <w:sz w:val="24"/>
        </w:rPr>
        <w:footnoteReference w:id="10"/>
      </w:r>
      <w:r w:rsidRPr="00261F03">
        <w:rPr>
          <w:rFonts w:ascii="Times New Roman" w:hAnsi="Times New Roman" w:cs="Times New Roman"/>
          <w:sz w:val="24"/>
        </w:rPr>
        <w:t> highlight the importance accorded to </w:t>
      </w:r>
      <w:hyperlink r:id="rId28" w:history="1">
        <w:r w:rsidRPr="00261F03">
          <w:rPr>
            <w:rStyle w:val="Hyperlink"/>
            <w:rFonts w:ascii="Times New Roman" w:hAnsi="Times New Roman" w:cs="Times New Roman"/>
            <w:color w:val="auto"/>
            <w:sz w:val="24"/>
            <w:u w:val="none"/>
          </w:rPr>
          <w:t>Article 32</w:t>
        </w:r>
      </w:hyperlink>
      <w:r w:rsidR="00261F03">
        <w:rPr>
          <w:rFonts w:ascii="Times New Roman" w:hAnsi="Times New Roman" w:cs="Times New Roman"/>
          <w:sz w:val="24"/>
        </w:rPr>
        <w:t>.</w:t>
      </w:r>
      <w:r w:rsidRPr="00261F03">
        <w:rPr>
          <w:rFonts w:ascii="Times New Roman" w:hAnsi="Times New Roman" w:cs="Times New Roman"/>
          <w:sz w:val="24"/>
        </w:rPr>
        <w:t> </w:t>
      </w:r>
    </w:p>
    <w:p w:rsidR="00FA5B15" w:rsidRDefault="00FA5B15" w:rsidP="00591478">
      <w:pPr>
        <w:jc w:val="both"/>
        <w:rPr>
          <w:rFonts w:ascii="Times New Roman" w:hAnsi="Times New Roman" w:cs="Times New Roman"/>
          <w:sz w:val="24"/>
        </w:rPr>
      </w:pPr>
      <w:r w:rsidRPr="00FA5B15">
        <w:rPr>
          <w:rFonts w:ascii="Times New Roman" w:hAnsi="Times New Roman" w:cs="Times New Roman"/>
          <w:sz w:val="24"/>
        </w:rPr>
        <w:t xml:space="preserve">The theory of alternative institutional mechanisms advocated in Sampath Kumar's case ignores the fact that judicial review vested in the High </w:t>
      </w:r>
      <w:r w:rsidR="00DC2CE8" w:rsidRPr="00FA5B15">
        <w:rPr>
          <w:rFonts w:ascii="Times New Roman" w:hAnsi="Times New Roman" w:cs="Times New Roman"/>
          <w:sz w:val="24"/>
        </w:rPr>
        <w:t>Court’s</w:t>
      </w:r>
      <w:r w:rsidRPr="00FA5B15">
        <w:rPr>
          <w:rFonts w:ascii="Times New Roman" w:hAnsi="Times New Roman" w:cs="Times New Roman"/>
          <w:sz w:val="24"/>
        </w:rPr>
        <w:t xml:space="preserve"> consist not only of the power conferred upon the High Courts but also of the High </w:t>
      </w:r>
      <w:r w:rsidR="00DC2CE8" w:rsidRPr="00FA5B15">
        <w:rPr>
          <w:rFonts w:ascii="Times New Roman" w:hAnsi="Times New Roman" w:cs="Times New Roman"/>
          <w:sz w:val="24"/>
        </w:rPr>
        <w:t>Court’s</w:t>
      </w:r>
      <w:r w:rsidRPr="00FA5B15">
        <w:rPr>
          <w:rFonts w:ascii="Times New Roman" w:hAnsi="Times New Roman" w:cs="Times New Roman"/>
          <w:sz w:val="24"/>
        </w:rPr>
        <w:t xml:space="preserve"> themselves as institutions endowed with glorious judicial traditions since the 19th century and possesse</w:t>
      </w:r>
      <w:r w:rsidR="00261F03">
        <w:rPr>
          <w:rFonts w:ascii="Times New Roman" w:hAnsi="Times New Roman" w:cs="Times New Roman"/>
          <w:sz w:val="24"/>
        </w:rPr>
        <w:t>s</w:t>
      </w:r>
      <w:r w:rsidRPr="00FA5B15">
        <w:rPr>
          <w:rFonts w:ascii="Times New Roman" w:hAnsi="Times New Roman" w:cs="Times New Roman"/>
          <w:sz w:val="24"/>
        </w:rPr>
        <w:t xml:space="preserve"> the </w:t>
      </w:r>
      <w:r w:rsidR="00261F03">
        <w:rPr>
          <w:rFonts w:ascii="Times New Roman" w:hAnsi="Times New Roman" w:cs="Times New Roman"/>
          <w:sz w:val="24"/>
        </w:rPr>
        <w:t>fa</w:t>
      </w:r>
      <w:r w:rsidR="00573645">
        <w:rPr>
          <w:rFonts w:ascii="Times New Roman" w:hAnsi="Times New Roman" w:cs="Times New Roman"/>
          <w:sz w:val="24"/>
        </w:rPr>
        <w:t>ith</w:t>
      </w:r>
      <w:r w:rsidR="00261F03">
        <w:rPr>
          <w:rFonts w:ascii="Times New Roman" w:hAnsi="Times New Roman" w:cs="Times New Roman"/>
          <w:sz w:val="24"/>
        </w:rPr>
        <w:t xml:space="preserve"> h</w:t>
      </w:r>
      <w:r w:rsidRPr="00FA5B15">
        <w:rPr>
          <w:rFonts w:ascii="Times New Roman" w:hAnsi="Times New Roman" w:cs="Times New Roman"/>
          <w:sz w:val="24"/>
        </w:rPr>
        <w:t xml:space="preserve"> of the people. A Tribunal, being a new creation of the executive, would not be able to recreate a similar tradition and environment overnight. </w:t>
      </w:r>
    </w:p>
    <w:p w:rsidR="00FC1644" w:rsidRPr="00FA0B30" w:rsidRDefault="00FA0B30" w:rsidP="00FA0B30">
      <w:pPr>
        <w:rPr>
          <w:rFonts w:ascii="Times New Roman" w:hAnsi="Times New Roman" w:cs="Times New Roman"/>
          <w:b/>
          <w:sz w:val="28"/>
          <w:szCs w:val="28"/>
        </w:rPr>
      </w:pPr>
      <w:r w:rsidRPr="00FA0B30">
        <w:rPr>
          <w:rFonts w:ascii="Times New Roman" w:hAnsi="Times New Roman" w:cs="Times New Roman"/>
          <w:b/>
          <w:sz w:val="28"/>
          <w:szCs w:val="28"/>
        </w:rPr>
        <w:t xml:space="preserve">Constitutionality </w:t>
      </w:r>
      <w:r>
        <w:rPr>
          <w:rFonts w:ascii="Times New Roman" w:hAnsi="Times New Roman" w:cs="Times New Roman"/>
          <w:b/>
          <w:sz w:val="28"/>
          <w:szCs w:val="28"/>
        </w:rPr>
        <w:t>o</w:t>
      </w:r>
      <w:r w:rsidRPr="00FA0B30">
        <w:rPr>
          <w:rFonts w:ascii="Times New Roman" w:hAnsi="Times New Roman" w:cs="Times New Roman"/>
          <w:b/>
          <w:sz w:val="28"/>
          <w:szCs w:val="28"/>
        </w:rPr>
        <w:t>f The Imp</w:t>
      </w:r>
      <w:r>
        <w:rPr>
          <w:rFonts w:ascii="Times New Roman" w:hAnsi="Times New Roman" w:cs="Times New Roman"/>
          <w:b/>
          <w:sz w:val="28"/>
          <w:szCs w:val="28"/>
        </w:rPr>
        <w:t>ugna</w:t>
      </w:r>
      <w:r w:rsidRPr="00FA0B30">
        <w:rPr>
          <w:rFonts w:ascii="Times New Roman" w:hAnsi="Times New Roman" w:cs="Times New Roman"/>
          <w:b/>
          <w:sz w:val="28"/>
          <w:szCs w:val="28"/>
        </w:rPr>
        <w:t>ted Sections</w:t>
      </w:r>
    </w:p>
    <w:p w:rsidR="00FC1644" w:rsidRDefault="00367E14" w:rsidP="00FC1644">
      <w:pPr>
        <w:rPr>
          <w:rFonts w:ascii="Times New Roman" w:hAnsi="Times New Roman" w:cs="Times New Roman"/>
          <w:sz w:val="24"/>
        </w:rPr>
      </w:pPr>
      <w:r w:rsidRPr="00367E14">
        <w:rPr>
          <w:rFonts w:ascii="Times New Roman" w:hAnsi="Times New Roman" w:cs="Times New Roman"/>
          <w:sz w:val="24"/>
        </w:rPr>
        <w:t xml:space="preserve">The principal violation was that of the </w:t>
      </w:r>
      <w:r>
        <w:rPr>
          <w:rFonts w:ascii="Times New Roman" w:hAnsi="Times New Roman" w:cs="Times New Roman"/>
          <w:sz w:val="24"/>
        </w:rPr>
        <w:t xml:space="preserve">limitation of the power of </w:t>
      </w:r>
      <w:r w:rsidRPr="00367E14">
        <w:rPr>
          <w:rFonts w:ascii="Times New Roman" w:hAnsi="Times New Roman" w:cs="Times New Roman"/>
          <w:sz w:val="24"/>
        </w:rPr>
        <w:t>judicial review vested Apex Court under Article 32 of the Constitution, and that of the High Courts under Article 226 of the Constitution</w:t>
      </w:r>
      <w:r>
        <w:rPr>
          <w:rFonts w:ascii="Times New Roman" w:hAnsi="Times New Roman" w:cs="Times New Roman"/>
          <w:sz w:val="24"/>
        </w:rPr>
        <w:t>.</w:t>
      </w:r>
    </w:p>
    <w:p w:rsidR="00367E14" w:rsidRDefault="00367E14" w:rsidP="00367E14">
      <w:pPr>
        <w:jc w:val="both"/>
        <w:rPr>
          <w:rFonts w:ascii="Times New Roman" w:hAnsi="Times New Roman" w:cs="Times New Roman"/>
          <w:sz w:val="24"/>
        </w:rPr>
      </w:pPr>
      <w:r w:rsidRPr="00367E14">
        <w:rPr>
          <w:rFonts w:ascii="Times New Roman" w:hAnsi="Times New Roman" w:cs="Times New Roman"/>
          <w:sz w:val="24"/>
        </w:rPr>
        <w:lastRenderedPageBreak/>
        <w:t xml:space="preserve">Chief Justice Bhagwati reiterated the earlier view expressed by him in </w:t>
      </w:r>
      <w:r w:rsidRPr="00367E14">
        <w:rPr>
          <w:rFonts w:ascii="Times New Roman" w:hAnsi="Times New Roman" w:cs="Times New Roman"/>
          <w:b/>
          <w:sz w:val="24"/>
        </w:rPr>
        <w:t>Minerva Mills v.</w:t>
      </w:r>
      <w:r w:rsidR="000A1C98">
        <w:rPr>
          <w:rFonts w:ascii="Times New Roman" w:hAnsi="Times New Roman" w:cs="Times New Roman"/>
          <w:b/>
          <w:sz w:val="24"/>
        </w:rPr>
        <w:t xml:space="preserve"> Union of </w:t>
      </w:r>
      <w:r w:rsidR="00204181">
        <w:rPr>
          <w:rFonts w:ascii="Times New Roman" w:hAnsi="Times New Roman" w:cs="Times New Roman"/>
          <w:b/>
          <w:sz w:val="24"/>
        </w:rPr>
        <w:t>India</w:t>
      </w:r>
      <w:r>
        <w:rPr>
          <w:rStyle w:val="FootnoteReference"/>
          <w:rFonts w:ascii="Times New Roman" w:hAnsi="Times New Roman" w:cs="Times New Roman"/>
          <w:sz w:val="24"/>
        </w:rPr>
        <w:footnoteReference w:id="11"/>
      </w:r>
      <w:r w:rsidRPr="00367E14">
        <w:rPr>
          <w:rFonts w:ascii="Times New Roman" w:hAnsi="Times New Roman" w:cs="Times New Roman"/>
          <w:sz w:val="24"/>
        </w:rPr>
        <w:t xml:space="preserve"> about the power of Parliament to set up effective alternative institutional mechanism or arrangements for judicial review by amending the Constitution. </w:t>
      </w:r>
      <w:r w:rsidR="002E4246">
        <w:rPr>
          <w:rFonts w:ascii="Times New Roman" w:hAnsi="Times New Roman" w:cs="Times New Roman"/>
          <w:sz w:val="24"/>
        </w:rPr>
        <w:t>“</w:t>
      </w:r>
      <w:r w:rsidRPr="00367E14">
        <w:rPr>
          <w:rFonts w:ascii="Times New Roman" w:hAnsi="Times New Roman" w:cs="Times New Roman"/>
          <w:sz w:val="24"/>
        </w:rPr>
        <w:t>If, by such constitutional amendment, the power of judicial review of the high-court is taken away and vested “in any other institutional mechanism or authority, it would not be violative of the basic structure doctrine, so long as the essential condition is fulfilled, i.e., the alternative institutional mechanism or authority set up by Parliamentary amendment is no less effective than the highcourt.”</w:t>
      </w:r>
    </w:p>
    <w:p w:rsidR="0073390B" w:rsidRDefault="002E4246" w:rsidP="00367E14">
      <w:pPr>
        <w:jc w:val="both"/>
        <w:rPr>
          <w:rFonts w:ascii="Times New Roman" w:hAnsi="Times New Roman" w:cs="Times New Roman"/>
          <w:sz w:val="24"/>
        </w:rPr>
      </w:pPr>
      <w:r>
        <w:rPr>
          <w:rFonts w:ascii="Times New Roman" w:hAnsi="Times New Roman" w:cs="Times New Roman"/>
          <w:sz w:val="24"/>
        </w:rPr>
        <w:t>I</w:t>
      </w:r>
      <w:r w:rsidRPr="002E4246">
        <w:rPr>
          <w:rFonts w:ascii="Times New Roman" w:hAnsi="Times New Roman" w:cs="Times New Roman"/>
          <w:sz w:val="24"/>
        </w:rPr>
        <w:t xml:space="preserve">n </w:t>
      </w:r>
      <w:r w:rsidRPr="002E4246">
        <w:rPr>
          <w:rFonts w:ascii="Times New Roman" w:hAnsi="Times New Roman" w:cs="Times New Roman"/>
          <w:b/>
          <w:sz w:val="24"/>
        </w:rPr>
        <w:t xml:space="preserve">Sampath Kumar v. </w:t>
      </w:r>
      <w:r w:rsidR="000A1C98">
        <w:rPr>
          <w:rFonts w:ascii="Times New Roman" w:hAnsi="Times New Roman" w:cs="Times New Roman"/>
          <w:b/>
          <w:sz w:val="24"/>
        </w:rPr>
        <w:t xml:space="preserve">Union of </w:t>
      </w:r>
      <w:r w:rsidR="00204181">
        <w:rPr>
          <w:rFonts w:ascii="Times New Roman" w:hAnsi="Times New Roman" w:cs="Times New Roman"/>
          <w:b/>
          <w:sz w:val="24"/>
        </w:rPr>
        <w:t>India</w:t>
      </w:r>
      <w:r w:rsidRPr="002E4246">
        <w:rPr>
          <w:rFonts w:ascii="Times New Roman" w:hAnsi="Times New Roman" w:cs="Times New Roman"/>
          <w:sz w:val="24"/>
        </w:rPr>
        <w:t xml:space="preserve">, in the </w:t>
      </w:r>
      <w:r w:rsidR="00204181">
        <w:rPr>
          <w:rFonts w:ascii="Times New Roman" w:hAnsi="Times New Roman" w:cs="Times New Roman"/>
          <w:sz w:val="24"/>
        </w:rPr>
        <w:t>verdict</w:t>
      </w:r>
      <w:r w:rsidRPr="002E4246">
        <w:rPr>
          <w:rFonts w:ascii="Times New Roman" w:hAnsi="Times New Roman" w:cs="Times New Roman"/>
          <w:sz w:val="24"/>
        </w:rPr>
        <w:t xml:space="preserve"> the</w:t>
      </w:r>
      <w:r>
        <w:rPr>
          <w:rFonts w:ascii="Times New Roman" w:hAnsi="Times New Roman" w:cs="Times New Roman"/>
          <w:sz w:val="24"/>
        </w:rPr>
        <w:t xml:space="preserve"> Supreme</w:t>
      </w:r>
      <w:r w:rsidRPr="002E4246">
        <w:rPr>
          <w:rFonts w:ascii="Times New Roman" w:hAnsi="Times New Roman" w:cs="Times New Roman"/>
          <w:sz w:val="24"/>
        </w:rPr>
        <w:t xml:space="preserve"> Court held that Section 28 </w:t>
      </w:r>
      <w:r>
        <w:rPr>
          <w:rFonts w:ascii="Times New Roman" w:hAnsi="Times New Roman" w:cs="Times New Roman"/>
          <w:sz w:val="24"/>
        </w:rPr>
        <w:t xml:space="preserve">of the Administrative Tribunals Act, 1985, </w:t>
      </w:r>
      <w:r w:rsidRPr="002E4246">
        <w:rPr>
          <w:rFonts w:ascii="Times New Roman" w:hAnsi="Times New Roman" w:cs="Times New Roman"/>
          <w:sz w:val="24"/>
        </w:rPr>
        <w:t xml:space="preserve">which excludes jurisdiction of the HighCourts under Articles 226is constitutional. The Court ruled that this section does not </w:t>
      </w:r>
      <w:r>
        <w:rPr>
          <w:rFonts w:ascii="Times New Roman" w:hAnsi="Times New Roman" w:cs="Times New Roman"/>
          <w:sz w:val="24"/>
        </w:rPr>
        <w:t>completely</w:t>
      </w:r>
      <w:r w:rsidRPr="002E4246">
        <w:rPr>
          <w:rFonts w:ascii="Times New Roman" w:hAnsi="Times New Roman" w:cs="Times New Roman"/>
          <w:sz w:val="24"/>
        </w:rPr>
        <w:t xml:space="preserve"> bar judicial review. It also said that Administrative Tribunals under the </w:t>
      </w:r>
      <w:r>
        <w:rPr>
          <w:rFonts w:ascii="Times New Roman" w:hAnsi="Times New Roman" w:cs="Times New Roman"/>
          <w:sz w:val="24"/>
        </w:rPr>
        <w:t>said</w:t>
      </w:r>
      <w:r w:rsidRPr="002E4246">
        <w:rPr>
          <w:rFonts w:ascii="Times New Roman" w:hAnsi="Times New Roman" w:cs="Times New Roman"/>
          <w:sz w:val="24"/>
        </w:rPr>
        <w:t xml:space="preserve"> Act are substitute of </w:t>
      </w:r>
      <w:r w:rsidR="00DC2CE8" w:rsidRPr="002E4246">
        <w:rPr>
          <w:rFonts w:ascii="Times New Roman" w:hAnsi="Times New Roman" w:cs="Times New Roman"/>
          <w:sz w:val="24"/>
        </w:rPr>
        <w:t>HighCourts</w:t>
      </w:r>
      <w:r w:rsidRPr="002E4246">
        <w:rPr>
          <w:rFonts w:ascii="Times New Roman" w:hAnsi="Times New Roman" w:cs="Times New Roman"/>
          <w:sz w:val="24"/>
        </w:rPr>
        <w:t xml:space="preserve"> and will deal with all service matters even involving Articles 14, 15 and 16. It also advised for changing the qualifications of Chairman of the tribunal. As a result, the Act was further amended in 1987. </w:t>
      </w:r>
      <w:r w:rsidR="0073390B" w:rsidRPr="0073390B">
        <w:rPr>
          <w:rFonts w:ascii="Times New Roman" w:hAnsi="Times New Roman" w:cs="Times New Roman"/>
          <w:sz w:val="24"/>
        </w:rPr>
        <w:t xml:space="preserve">The appointment of the Chairman, the Vice- Chairman and Administrative Members should be madeonly after the recommendations of the Chief Justice of India. </w:t>
      </w:r>
      <w:r w:rsidR="0073390B">
        <w:rPr>
          <w:rFonts w:ascii="Times New Roman" w:hAnsi="Times New Roman" w:cs="Times New Roman"/>
          <w:sz w:val="24"/>
        </w:rPr>
        <w:t>A</w:t>
      </w:r>
      <w:r w:rsidR="0073390B" w:rsidRPr="0073390B">
        <w:rPr>
          <w:rFonts w:ascii="Times New Roman" w:hAnsi="Times New Roman" w:cs="Times New Roman"/>
          <w:sz w:val="24"/>
        </w:rPr>
        <w:t xml:space="preserve"> district judge or an advocate who is qualified to be a judge of the HighCourt should be regarded as eligible for being the ViceChairman of the </w:t>
      </w:r>
      <w:r w:rsidR="0073390B">
        <w:rPr>
          <w:rFonts w:ascii="Times New Roman" w:hAnsi="Times New Roman" w:cs="Times New Roman"/>
          <w:sz w:val="24"/>
        </w:rPr>
        <w:t>A</w:t>
      </w:r>
      <w:r w:rsidR="0073390B" w:rsidRPr="0073390B">
        <w:rPr>
          <w:rFonts w:ascii="Times New Roman" w:hAnsi="Times New Roman" w:cs="Times New Roman"/>
          <w:sz w:val="24"/>
        </w:rPr>
        <w:t xml:space="preserve">dministrative </w:t>
      </w:r>
      <w:r w:rsidR="0073390B">
        <w:rPr>
          <w:rFonts w:ascii="Times New Roman" w:hAnsi="Times New Roman" w:cs="Times New Roman"/>
          <w:sz w:val="24"/>
        </w:rPr>
        <w:t>T</w:t>
      </w:r>
      <w:r w:rsidR="0073390B" w:rsidRPr="0073390B">
        <w:rPr>
          <w:rFonts w:ascii="Times New Roman" w:hAnsi="Times New Roman" w:cs="Times New Roman"/>
          <w:sz w:val="24"/>
        </w:rPr>
        <w:t>ribunal.</w:t>
      </w:r>
    </w:p>
    <w:p w:rsidR="002E4246" w:rsidRDefault="002E4246" w:rsidP="00367E14">
      <w:pPr>
        <w:jc w:val="both"/>
        <w:rPr>
          <w:rFonts w:ascii="Times New Roman" w:hAnsi="Times New Roman" w:cs="Times New Roman"/>
          <w:sz w:val="24"/>
        </w:rPr>
      </w:pPr>
      <w:r w:rsidRPr="002E4246">
        <w:rPr>
          <w:rFonts w:ascii="Times New Roman" w:hAnsi="Times New Roman" w:cs="Times New Roman"/>
          <w:sz w:val="24"/>
        </w:rPr>
        <w:t xml:space="preserve">In </w:t>
      </w:r>
      <w:r w:rsidR="00204181">
        <w:rPr>
          <w:rFonts w:ascii="Times New Roman" w:hAnsi="Times New Roman" w:cs="Times New Roman"/>
          <w:b/>
          <w:sz w:val="24"/>
        </w:rPr>
        <w:t>U</w:t>
      </w:r>
      <w:r w:rsidR="000A1C98">
        <w:rPr>
          <w:rFonts w:ascii="Times New Roman" w:hAnsi="Times New Roman" w:cs="Times New Roman"/>
          <w:b/>
          <w:sz w:val="24"/>
        </w:rPr>
        <w:t xml:space="preserve">nion of </w:t>
      </w:r>
      <w:r w:rsidR="00204181">
        <w:rPr>
          <w:rFonts w:ascii="Times New Roman" w:hAnsi="Times New Roman" w:cs="Times New Roman"/>
          <w:b/>
          <w:sz w:val="24"/>
        </w:rPr>
        <w:t>India</w:t>
      </w:r>
      <w:r w:rsidRPr="0073390B">
        <w:rPr>
          <w:rFonts w:ascii="Times New Roman" w:hAnsi="Times New Roman" w:cs="Times New Roman"/>
          <w:b/>
          <w:sz w:val="24"/>
        </w:rPr>
        <w:t xml:space="preserve"> v. Parmanand</w:t>
      </w:r>
      <w:r w:rsidR="0073390B">
        <w:rPr>
          <w:rStyle w:val="FootnoteReference"/>
          <w:rFonts w:ascii="Times New Roman" w:hAnsi="Times New Roman" w:cs="Times New Roman"/>
          <w:sz w:val="24"/>
        </w:rPr>
        <w:footnoteReference w:id="12"/>
      </w:r>
      <w:r w:rsidRPr="002E4246">
        <w:rPr>
          <w:rFonts w:ascii="Times New Roman" w:hAnsi="Times New Roman" w:cs="Times New Roman"/>
          <w:sz w:val="24"/>
        </w:rPr>
        <w:t xml:space="preserve">, a two-judges Bench upheld the authority of the Administrative Tribunals to decide the constitutionality of service </w:t>
      </w:r>
      <w:r w:rsidR="0073390B">
        <w:rPr>
          <w:rFonts w:ascii="Times New Roman" w:hAnsi="Times New Roman" w:cs="Times New Roman"/>
          <w:sz w:val="24"/>
        </w:rPr>
        <w:t>laws</w:t>
      </w:r>
      <w:r w:rsidRPr="002E4246">
        <w:rPr>
          <w:rFonts w:ascii="Times New Roman" w:hAnsi="Times New Roman" w:cs="Times New Roman"/>
          <w:sz w:val="24"/>
        </w:rPr>
        <w:t>.</w:t>
      </w:r>
    </w:p>
    <w:p w:rsidR="0073390B" w:rsidRDefault="0073390B" w:rsidP="00367E14">
      <w:pPr>
        <w:jc w:val="both"/>
        <w:rPr>
          <w:rFonts w:ascii="Times New Roman" w:hAnsi="Times New Roman" w:cs="Times New Roman"/>
          <w:sz w:val="24"/>
        </w:rPr>
      </w:pPr>
      <w:r w:rsidRPr="0073390B">
        <w:rPr>
          <w:rFonts w:ascii="Times New Roman" w:hAnsi="Times New Roman" w:cs="Times New Roman"/>
          <w:sz w:val="24"/>
        </w:rPr>
        <w:t xml:space="preserve">The </w:t>
      </w:r>
      <w:r>
        <w:rPr>
          <w:rFonts w:ascii="Times New Roman" w:hAnsi="Times New Roman" w:cs="Times New Roman"/>
          <w:sz w:val="24"/>
        </w:rPr>
        <w:t>Supreme C</w:t>
      </w:r>
      <w:r w:rsidRPr="0073390B">
        <w:rPr>
          <w:rFonts w:ascii="Times New Roman" w:hAnsi="Times New Roman" w:cs="Times New Roman"/>
          <w:sz w:val="24"/>
        </w:rPr>
        <w:t xml:space="preserve">ourt, after </w:t>
      </w:r>
      <w:r w:rsidR="00204181" w:rsidRPr="0073390B">
        <w:rPr>
          <w:rFonts w:ascii="Times New Roman" w:hAnsi="Times New Roman" w:cs="Times New Roman"/>
          <w:sz w:val="24"/>
        </w:rPr>
        <w:t>analyzing</w:t>
      </w:r>
      <w:r w:rsidRPr="0073390B">
        <w:rPr>
          <w:rFonts w:ascii="Times New Roman" w:hAnsi="Times New Roman" w:cs="Times New Roman"/>
          <w:sz w:val="24"/>
        </w:rPr>
        <w:t xml:space="preserve">- the text of </w:t>
      </w:r>
      <w:r>
        <w:rPr>
          <w:rFonts w:ascii="Times New Roman" w:hAnsi="Times New Roman" w:cs="Times New Roman"/>
          <w:sz w:val="24"/>
        </w:rPr>
        <w:t xml:space="preserve">disputed </w:t>
      </w:r>
      <w:r w:rsidRPr="0073390B">
        <w:rPr>
          <w:rFonts w:ascii="Times New Roman" w:hAnsi="Times New Roman" w:cs="Times New Roman"/>
          <w:sz w:val="24"/>
        </w:rPr>
        <w:t>Article 323A of the Constitution, the provisions of the impugned Act and the decision in Sampath Kumar</w:t>
      </w:r>
      <w:r>
        <w:rPr>
          <w:rFonts w:ascii="Times New Roman" w:hAnsi="Times New Roman" w:cs="Times New Roman"/>
          <w:sz w:val="24"/>
        </w:rPr>
        <w:t>’s case</w:t>
      </w:r>
      <w:r w:rsidRPr="0073390B">
        <w:rPr>
          <w:rFonts w:ascii="Times New Roman" w:hAnsi="Times New Roman" w:cs="Times New Roman"/>
          <w:sz w:val="24"/>
        </w:rPr>
        <w:t xml:space="preserve">, rejected the </w:t>
      </w:r>
      <w:r w:rsidR="00204181">
        <w:rPr>
          <w:rFonts w:ascii="Times New Roman" w:hAnsi="Times New Roman" w:cs="Times New Roman"/>
          <w:sz w:val="24"/>
        </w:rPr>
        <w:t>argument</w:t>
      </w:r>
      <w:r w:rsidRPr="0073390B">
        <w:rPr>
          <w:rFonts w:ascii="Times New Roman" w:hAnsi="Times New Roman" w:cs="Times New Roman"/>
          <w:sz w:val="24"/>
        </w:rPr>
        <w:t xml:space="preserve"> that the tribunals were the equals of the </w:t>
      </w:r>
      <w:r>
        <w:rPr>
          <w:rFonts w:ascii="Times New Roman" w:hAnsi="Times New Roman" w:cs="Times New Roman"/>
          <w:sz w:val="24"/>
        </w:rPr>
        <w:t>High Courts</w:t>
      </w:r>
      <w:r w:rsidRPr="0073390B">
        <w:rPr>
          <w:rFonts w:ascii="Times New Roman" w:hAnsi="Times New Roman" w:cs="Times New Roman"/>
          <w:sz w:val="24"/>
        </w:rPr>
        <w:t xml:space="preserve"> in respect of their service con</w:t>
      </w:r>
      <w:r>
        <w:rPr>
          <w:rFonts w:ascii="Times New Roman" w:hAnsi="Times New Roman" w:cs="Times New Roman"/>
          <w:sz w:val="24"/>
        </w:rPr>
        <w:t>text</w:t>
      </w:r>
      <w:r w:rsidRPr="0073390B">
        <w:rPr>
          <w:rFonts w:ascii="Times New Roman" w:hAnsi="Times New Roman" w:cs="Times New Roman"/>
          <w:sz w:val="24"/>
        </w:rPr>
        <w:t>s.</w:t>
      </w:r>
    </w:p>
    <w:p w:rsidR="00BD29A1" w:rsidRDefault="00BD29A1" w:rsidP="00367E14">
      <w:pPr>
        <w:jc w:val="both"/>
        <w:rPr>
          <w:rFonts w:ascii="Times New Roman" w:hAnsi="Times New Roman" w:cs="Times New Roman"/>
          <w:sz w:val="24"/>
        </w:rPr>
      </w:pPr>
      <w:r w:rsidRPr="00BD29A1">
        <w:rPr>
          <w:rFonts w:ascii="Times New Roman" w:hAnsi="Times New Roman" w:cs="Times New Roman"/>
          <w:sz w:val="24"/>
        </w:rPr>
        <w:t>The power of judicial review is a basic and essential feature of the Constitution and the jurisdiction conferred on High Courts under Articles 226 and 227 and on Supreme Court under Article 32 of the Constitution is a part of the basic structure of the Constitution</w:t>
      </w:r>
      <w:r>
        <w:rPr>
          <w:rFonts w:ascii="Times New Roman" w:hAnsi="Times New Roman" w:cs="Times New Roman"/>
          <w:sz w:val="24"/>
        </w:rPr>
        <w:t xml:space="preserve"> and cannot be amended</w:t>
      </w:r>
    </w:p>
    <w:p w:rsidR="00BD29A1" w:rsidRDefault="00BD29A1" w:rsidP="00367E14">
      <w:pPr>
        <w:jc w:val="both"/>
        <w:rPr>
          <w:rFonts w:ascii="Times New Roman" w:hAnsi="Times New Roman" w:cs="Times New Roman"/>
          <w:sz w:val="24"/>
        </w:rPr>
      </w:pPr>
      <w:r w:rsidRPr="00BD29A1">
        <w:rPr>
          <w:rFonts w:ascii="Times New Roman" w:hAnsi="Times New Roman" w:cs="Times New Roman"/>
          <w:sz w:val="24"/>
        </w:rPr>
        <w:t xml:space="preserve">For </w:t>
      </w:r>
      <w:r>
        <w:rPr>
          <w:rFonts w:ascii="Times New Roman" w:hAnsi="Times New Roman" w:cs="Times New Roman"/>
          <w:sz w:val="24"/>
        </w:rPr>
        <w:t>protecting the</w:t>
      </w:r>
      <w:r w:rsidRPr="00BD29A1">
        <w:rPr>
          <w:rFonts w:ascii="Times New Roman" w:hAnsi="Times New Roman" w:cs="Times New Roman"/>
          <w:sz w:val="24"/>
        </w:rPr>
        <w:t xml:space="preserve"> independence of judiciary, the judges of superior courts have been en</w:t>
      </w:r>
      <w:r>
        <w:rPr>
          <w:rFonts w:ascii="Times New Roman" w:hAnsi="Times New Roman" w:cs="Times New Roman"/>
          <w:sz w:val="24"/>
        </w:rPr>
        <w:t>dow</w:t>
      </w:r>
      <w:r w:rsidRPr="00BD29A1">
        <w:rPr>
          <w:rFonts w:ascii="Times New Roman" w:hAnsi="Times New Roman" w:cs="Times New Roman"/>
          <w:sz w:val="24"/>
        </w:rPr>
        <w:t xml:space="preserve">ed with the power of judicial review. Though the Parliament is empowered to amend the Constitution, the power of amendment cannot be exercised so as to damage the </w:t>
      </w:r>
      <w:r>
        <w:rPr>
          <w:rFonts w:ascii="Times New Roman" w:hAnsi="Times New Roman" w:cs="Times New Roman"/>
          <w:sz w:val="24"/>
        </w:rPr>
        <w:t>heart and soul of the Constitution</w:t>
      </w:r>
      <w:r w:rsidRPr="00BD29A1">
        <w:rPr>
          <w:rFonts w:ascii="Times New Roman" w:hAnsi="Times New Roman" w:cs="Times New Roman"/>
          <w:sz w:val="24"/>
        </w:rPr>
        <w:t xml:space="preserve">. </w:t>
      </w:r>
    </w:p>
    <w:p w:rsidR="00BD29A1" w:rsidRDefault="00BD29A1" w:rsidP="00367E14">
      <w:pPr>
        <w:jc w:val="both"/>
        <w:rPr>
          <w:rFonts w:ascii="Times New Roman" w:hAnsi="Times New Roman" w:cs="Times New Roman"/>
          <w:sz w:val="24"/>
        </w:rPr>
      </w:pPr>
      <w:r w:rsidRPr="00BD29A1">
        <w:rPr>
          <w:rFonts w:ascii="Times New Roman" w:hAnsi="Times New Roman" w:cs="Times New Roman"/>
          <w:sz w:val="24"/>
        </w:rPr>
        <w:t>The High Courts and the Supreme Court have been entrusted with the task of upholding the Constitution and</w:t>
      </w:r>
      <w:r>
        <w:rPr>
          <w:rFonts w:ascii="Times New Roman" w:hAnsi="Times New Roman" w:cs="Times New Roman"/>
          <w:sz w:val="24"/>
        </w:rPr>
        <w:t xml:space="preserve"> for achieving that goal</w:t>
      </w:r>
      <w:r w:rsidRPr="00BD29A1">
        <w:rPr>
          <w:rFonts w:ascii="Times New Roman" w:hAnsi="Times New Roman" w:cs="Times New Roman"/>
          <w:sz w:val="24"/>
        </w:rPr>
        <w:t xml:space="preserve">, they have to interpret </w:t>
      </w:r>
      <w:r>
        <w:rPr>
          <w:rFonts w:ascii="Times New Roman" w:hAnsi="Times New Roman" w:cs="Times New Roman"/>
          <w:sz w:val="24"/>
        </w:rPr>
        <w:t>it</w:t>
      </w:r>
      <w:r w:rsidRPr="00BD29A1">
        <w:rPr>
          <w:rFonts w:ascii="Times New Roman" w:hAnsi="Times New Roman" w:cs="Times New Roman"/>
          <w:sz w:val="24"/>
        </w:rPr>
        <w:t>.</w:t>
      </w:r>
    </w:p>
    <w:p w:rsidR="00322562" w:rsidRDefault="00322562" w:rsidP="00F922FD">
      <w:pPr>
        <w:jc w:val="center"/>
        <w:rPr>
          <w:rFonts w:ascii="Times New Roman" w:hAnsi="Times New Roman" w:cs="Times New Roman"/>
          <w:b/>
          <w:sz w:val="24"/>
        </w:rPr>
      </w:pPr>
    </w:p>
    <w:p w:rsidR="00322562" w:rsidRDefault="00322562" w:rsidP="00F922FD">
      <w:pPr>
        <w:jc w:val="center"/>
        <w:rPr>
          <w:rFonts w:ascii="Times New Roman" w:hAnsi="Times New Roman" w:cs="Times New Roman"/>
          <w:b/>
          <w:sz w:val="24"/>
        </w:rPr>
      </w:pPr>
    </w:p>
    <w:p w:rsidR="00F922FD" w:rsidRPr="00FA0B30" w:rsidRDefault="00FA0B30" w:rsidP="00FA0B30">
      <w:pPr>
        <w:rPr>
          <w:rFonts w:ascii="Times New Roman" w:hAnsi="Times New Roman" w:cs="Times New Roman"/>
          <w:b/>
          <w:sz w:val="28"/>
          <w:szCs w:val="24"/>
        </w:rPr>
      </w:pPr>
      <w:r w:rsidRPr="00FA0B30">
        <w:rPr>
          <w:rFonts w:ascii="Times New Roman" w:hAnsi="Times New Roman" w:cs="Times New Roman"/>
          <w:b/>
          <w:sz w:val="28"/>
          <w:szCs w:val="24"/>
        </w:rPr>
        <w:t>Petitioner’s Contention</w:t>
      </w:r>
    </w:p>
    <w:p w:rsidR="00F922FD" w:rsidRDefault="00F922FD" w:rsidP="00F922FD">
      <w:pPr>
        <w:pStyle w:val="ListParagraph"/>
        <w:numPr>
          <w:ilvl w:val="0"/>
          <w:numId w:val="9"/>
        </w:numPr>
        <w:jc w:val="both"/>
        <w:rPr>
          <w:rFonts w:ascii="Times New Roman" w:hAnsi="Times New Roman" w:cs="Times New Roman"/>
          <w:sz w:val="24"/>
        </w:rPr>
      </w:pPr>
      <w:r w:rsidRPr="00F922FD">
        <w:rPr>
          <w:rFonts w:ascii="Times New Roman" w:hAnsi="Times New Roman" w:cs="Times New Roman"/>
          <w:sz w:val="24"/>
        </w:rPr>
        <w:t>To hold Article 323A(2)(d) and Article 323B(3)(d) of the Constitution to be unconstitutional to the extent they allow Tribunals created under the Act to exclusively exercise the jurisdiction vested in the High Courts</w:t>
      </w:r>
      <w:r>
        <w:rPr>
          <w:rFonts w:ascii="Times New Roman" w:hAnsi="Times New Roman" w:cs="Times New Roman"/>
          <w:sz w:val="24"/>
        </w:rPr>
        <w:t>,</w:t>
      </w:r>
      <w:r w:rsidRPr="00F922FD">
        <w:rPr>
          <w:rFonts w:ascii="Times New Roman" w:hAnsi="Times New Roman" w:cs="Times New Roman"/>
          <w:sz w:val="24"/>
        </w:rPr>
        <w:t xml:space="preserve"> under Articles 226 and 227</w:t>
      </w:r>
      <w:r>
        <w:rPr>
          <w:rFonts w:ascii="Times New Roman" w:hAnsi="Times New Roman" w:cs="Times New Roman"/>
          <w:sz w:val="24"/>
        </w:rPr>
        <w:t>,</w:t>
      </w:r>
      <w:r w:rsidRPr="00F922FD">
        <w:rPr>
          <w:rFonts w:ascii="Times New Roman" w:hAnsi="Times New Roman" w:cs="Times New Roman"/>
          <w:sz w:val="24"/>
        </w:rPr>
        <w:t xml:space="preserve"> and that the power to interpret the provisions of the </w:t>
      </w:r>
      <w:r>
        <w:rPr>
          <w:rFonts w:ascii="Times New Roman" w:hAnsi="Times New Roman" w:cs="Times New Roman"/>
          <w:sz w:val="24"/>
        </w:rPr>
        <w:t>C</w:t>
      </w:r>
      <w:r w:rsidRPr="00F922FD">
        <w:rPr>
          <w:rFonts w:ascii="Times New Roman" w:hAnsi="Times New Roman" w:cs="Times New Roman"/>
          <w:sz w:val="24"/>
        </w:rPr>
        <w:t xml:space="preserve">onstitution is solely </w:t>
      </w:r>
      <w:r>
        <w:rPr>
          <w:rFonts w:ascii="Times New Roman" w:hAnsi="Times New Roman" w:cs="Times New Roman"/>
          <w:sz w:val="24"/>
        </w:rPr>
        <w:t>bestowedo</w:t>
      </w:r>
      <w:r w:rsidRPr="00F922FD">
        <w:rPr>
          <w:rFonts w:ascii="Times New Roman" w:hAnsi="Times New Roman" w:cs="Times New Roman"/>
          <w:sz w:val="24"/>
        </w:rPr>
        <w:t xml:space="preserve">n the </w:t>
      </w:r>
      <w:r>
        <w:rPr>
          <w:rFonts w:ascii="Times New Roman" w:hAnsi="Times New Roman" w:cs="Times New Roman"/>
          <w:sz w:val="24"/>
        </w:rPr>
        <w:t>traditiona</w:t>
      </w:r>
      <w:r w:rsidRPr="00F922FD">
        <w:rPr>
          <w:rFonts w:ascii="Times New Roman" w:hAnsi="Times New Roman" w:cs="Times New Roman"/>
          <w:sz w:val="24"/>
        </w:rPr>
        <w:t xml:space="preserve">l courts and cannot be </w:t>
      </w:r>
      <w:r w:rsidR="00204181">
        <w:rPr>
          <w:rFonts w:ascii="Times New Roman" w:hAnsi="Times New Roman" w:cs="Times New Roman"/>
          <w:sz w:val="24"/>
        </w:rPr>
        <w:t>conferred</w:t>
      </w:r>
      <w:r w:rsidRPr="00F922FD">
        <w:rPr>
          <w:rFonts w:ascii="Times New Roman" w:hAnsi="Times New Roman" w:cs="Times New Roman"/>
          <w:sz w:val="24"/>
        </w:rPr>
        <w:t xml:space="preserve"> on newly created quasi</w:t>
      </w:r>
      <w:r>
        <w:rPr>
          <w:rFonts w:ascii="Times New Roman" w:hAnsi="Times New Roman" w:cs="Times New Roman"/>
          <w:sz w:val="24"/>
        </w:rPr>
        <w:t>-</w:t>
      </w:r>
      <w:r w:rsidRPr="00F922FD">
        <w:rPr>
          <w:rFonts w:ascii="Times New Roman" w:hAnsi="Times New Roman" w:cs="Times New Roman"/>
          <w:sz w:val="24"/>
        </w:rPr>
        <w:t xml:space="preserve">judicial </w:t>
      </w:r>
      <w:r>
        <w:rPr>
          <w:rFonts w:ascii="Times New Roman" w:hAnsi="Times New Roman" w:cs="Times New Roman"/>
          <w:sz w:val="24"/>
        </w:rPr>
        <w:t>institutions</w:t>
      </w:r>
      <w:r w:rsidRPr="00F922FD">
        <w:rPr>
          <w:rFonts w:ascii="Times New Roman" w:hAnsi="Times New Roman" w:cs="Times New Roman"/>
          <w:sz w:val="24"/>
        </w:rPr>
        <w:t xml:space="preserve"> which are </w:t>
      </w:r>
      <w:r>
        <w:rPr>
          <w:rFonts w:ascii="Times New Roman" w:hAnsi="Times New Roman" w:cs="Times New Roman"/>
          <w:sz w:val="24"/>
        </w:rPr>
        <w:t>vulnerable to influence by e</w:t>
      </w:r>
      <w:r w:rsidRPr="00F922FD">
        <w:rPr>
          <w:rFonts w:ascii="Times New Roman" w:hAnsi="Times New Roman" w:cs="Times New Roman"/>
          <w:sz w:val="24"/>
        </w:rPr>
        <w:t>xecutive.</w:t>
      </w:r>
    </w:p>
    <w:p w:rsidR="00F922FD" w:rsidRDefault="00F922FD" w:rsidP="00F922FD">
      <w:pPr>
        <w:pStyle w:val="ListParagraph"/>
        <w:numPr>
          <w:ilvl w:val="0"/>
          <w:numId w:val="9"/>
        </w:numPr>
        <w:jc w:val="both"/>
        <w:rPr>
          <w:rFonts w:ascii="Times New Roman" w:hAnsi="Times New Roman" w:cs="Times New Roman"/>
          <w:sz w:val="24"/>
        </w:rPr>
      </w:pPr>
      <w:r w:rsidRPr="00F922FD">
        <w:rPr>
          <w:rFonts w:ascii="Times New Roman" w:hAnsi="Times New Roman" w:cs="Times New Roman"/>
          <w:sz w:val="24"/>
        </w:rPr>
        <w:t>To hold Section 5(6) of the</w:t>
      </w:r>
      <w:r>
        <w:rPr>
          <w:rFonts w:ascii="Times New Roman" w:hAnsi="Times New Roman" w:cs="Times New Roman"/>
          <w:sz w:val="24"/>
        </w:rPr>
        <w:t xml:space="preserve"> impugn</w:t>
      </w:r>
      <w:r w:rsidR="00DC2CE8">
        <w:rPr>
          <w:rFonts w:ascii="Times New Roman" w:hAnsi="Times New Roman" w:cs="Times New Roman"/>
          <w:sz w:val="24"/>
        </w:rPr>
        <w:t xml:space="preserve">ed </w:t>
      </w:r>
      <w:r w:rsidRPr="00F922FD">
        <w:rPr>
          <w:rFonts w:ascii="Times New Roman" w:hAnsi="Times New Roman" w:cs="Times New Roman"/>
          <w:sz w:val="24"/>
        </w:rPr>
        <w:t>Act, in so far as it allows a single Member Bench of a Tribunal to test the constitutional validity of a statutory provision, unconstitutional.</w:t>
      </w:r>
    </w:p>
    <w:p w:rsidR="00F922FD" w:rsidRDefault="00F922FD" w:rsidP="00F922FD">
      <w:pPr>
        <w:pStyle w:val="ListParagraph"/>
        <w:numPr>
          <w:ilvl w:val="0"/>
          <w:numId w:val="9"/>
        </w:numPr>
        <w:jc w:val="both"/>
        <w:rPr>
          <w:rFonts w:ascii="Times New Roman" w:hAnsi="Times New Roman" w:cs="Times New Roman"/>
          <w:sz w:val="24"/>
        </w:rPr>
      </w:pPr>
      <w:r w:rsidRPr="00F922FD">
        <w:rPr>
          <w:rFonts w:ascii="Times New Roman" w:hAnsi="Times New Roman" w:cs="Times New Roman"/>
          <w:sz w:val="24"/>
        </w:rPr>
        <w:t xml:space="preserve">The impugned provisions of the Constitution, </w:t>
      </w:r>
      <w:r w:rsidR="00204181" w:rsidRPr="00F922FD">
        <w:rPr>
          <w:rFonts w:ascii="Times New Roman" w:hAnsi="Times New Roman" w:cs="Times New Roman"/>
          <w:sz w:val="24"/>
        </w:rPr>
        <w:t>as</w:t>
      </w:r>
      <w:r w:rsidRPr="00F922FD">
        <w:rPr>
          <w:rFonts w:ascii="Times New Roman" w:hAnsi="Times New Roman" w:cs="Times New Roman"/>
          <w:sz w:val="24"/>
        </w:rPr>
        <w:t xml:space="preserve"> far as they exclude the jurisdiction of the Supreme Court and the High Courts under Articles 32 and 226</w:t>
      </w:r>
      <w:r>
        <w:rPr>
          <w:rFonts w:ascii="Times New Roman" w:hAnsi="Times New Roman" w:cs="Times New Roman"/>
          <w:sz w:val="24"/>
        </w:rPr>
        <w:t>, are unconstitutional.</w:t>
      </w:r>
    </w:p>
    <w:p w:rsidR="00F922FD" w:rsidRDefault="00F922FD" w:rsidP="00F922FD">
      <w:pPr>
        <w:pStyle w:val="ListParagraph"/>
        <w:numPr>
          <w:ilvl w:val="0"/>
          <w:numId w:val="9"/>
        </w:numPr>
        <w:jc w:val="both"/>
        <w:rPr>
          <w:rFonts w:ascii="Times New Roman" w:hAnsi="Times New Roman" w:cs="Times New Roman"/>
          <w:sz w:val="24"/>
        </w:rPr>
      </w:pPr>
      <w:r w:rsidRPr="00F922FD">
        <w:rPr>
          <w:rFonts w:ascii="Times New Roman" w:hAnsi="Times New Roman" w:cs="Times New Roman"/>
          <w:sz w:val="24"/>
        </w:rPr>
        <w:t>While the provisions of the Act do not p</w:t>
      </w:r>
      <w:r>
        <w:rPr>
          <w:rFonts w:ascii="Times New Roman" w:hAnsi="Times New Roman" w:cs="Times New Roman"/>
          <w:sz w:val="24"/>
        </w:rPr>
        <w:t>rofess</w:t>
      </w:r>
      <w:r w:rsidRPr="00F922FD">
        <w:rPr>
          <w:rFonts w:ascii="Times New Roman" w:hAnsi="Times New Roman" w:cs="Times New Roman"/>
          <w:sz w:val="24"/>
        </w:rPr>
        <w:t xml:space="preserve"> to affect the jurisdiction of the Supreme Court under Article 32 of the Constitution, therefore liable to be struck down.</w:t>
      </w:r>
    </w:p>
    <w:p w:rsidR="0022354B" w:rsidRDefault="00F922FD" w:rsidP="00F922FD">
      <w:pPr>
        <w:pStyle w:val="ListParagraph"/>
        <w:numPr>
          <w:ilvl w:val="0"/>
          <w:numId w:val="9"/>
        </w:numPr>
        <w:jc w:val="both"/>
        <w:rPr>
          <w:rFonts w:ascii="Times New Roman" w:hAnsi="Times New Roman" w:cs="Times New Roman"/>
          <w:sz w:val="24"/>
        </w:rPr>
      </w:pPr>
      <w:r w:rsidRPr="00F922FD">
        <w:rPr>
          <w:rFonts w:ascii="Times New Roman" w:hAnsi="Times New Roman" w:cs="Times New Roman"/>
          <w:sz w:val="24"/>
        </w:rPr>
        <w:t>The decision in Sampath Kumar’s case was founded on the hope that the Tribunals would be effective substitutes for the High Courts. This position is neither factually nor legally correct on account of the following differences between High Courts and these Tribunals: (</w:t>
      </w:r>
      <w:r>
        <w:rPr>
          <w:rFonts w:ascii="Times New Roman" w:hAnsi="Times New Roman" w:cs="Times New Roman"/>
          <w:sz w:val="24"/>
        </w:rPr>
        <w:t>1</w:t>
      </w:r>
      <w:r w:rsidRPr="00F922FD">
        <w:rPr>
          <w:rFonts w:ascii="Times New Roman" w:hAnsi="Times New Roman" w:cs="Times New Roman"/>
          <w:sz w:val="24"/>
        </w:rPr>
        <w:t xml:space="preserve">) High Courts enjoy vast powers as a </w:t>
      </w:r>
      <w:r w:rsidR="0022354B">
        <w:rPr>
          <w:rFonts w:ascii="Times New Roman" w:hAnsi="Times New Roman" w:cs="Times New Roman"/>
          <w:sz w:val="24"/>
        </w:rPr>
        <w:t>result</w:t>
      </w:r>
      <w:r w:rsidRPr="00F922FD">
        <w:rPr>
          <w:rFonts w:ascii="Times New Roman" w:hAnsi="Times New Roman" w:cs="Times New Roman"/>
          <w:sz w:val="24"/>
        </w:rPr>
        <w:t xml:space="preserve"> of being Courts of Record under Article 215 and possess the power to issue Certificates of Ap</w:t>
      </w:r>
      <w:r>
        <w:rPr>
          <w:rFonts w:ascii="Times New Roman" w:hAnsi="Times New Roman" w:cs="Times New Roman"/>
          <w:sz w:val="24"/>
        </w:rPr>
        <w:t>peal under Articles 132 and 133</w:t>
      </w:r>
      <w:r w:rsidR="0022354B">
        <w:rPr>
          <w:rFonts w:ascii="Times New Roman" w:hAnsi="Times New Roman" w:cs="Times New Roman"/>
          <w:sz w:val="24"/>
        </w:rPr>
        <w:t>.</w:t>
      </w:r>
      <w:r w:rsidRPr="00F922FD">
        <w:rPr>
          <w:rFonts w:ascii="Times New Roman" w:hAnsi="Times New Roman" w:cs="Times New Roman"/>
          <w:sz w:val="24"/>
        </w:rPr>
        <w:t xml:space="preserve"> This is not so </w:t>
      </w:r>
      <w:r>
        <w:rPr>
          <w:rFonts w:ascii="Times New Roman" w:hAnsi="Times New Roman" w:cs="Times New Roman"/>
          <w:sz w:val="24"/>
        </w:rPr>
        <w:t>in case of</w:t>
      </w:r>
      <w:r w:rsidRPr="00F922FD">
        <w:rPr>
          <w:rFonts w:ascii="Times New Roman" w:hAnsi="Times New Roman" w:cs="Times New Roman"/>
          <w:sz w:val="24"/>
        </w:rPr>
        <w:t xml:space="preserve"> Tribunals</w:t>
      </w:r>
      <w:r w:rsidR="0022354B">
        <w:rPr>
          <w:rFonts w:ascii="Times New Roman" w:hAnsi="Times New Roman" w:cs="Times New Roman"/>
          <w:sz w:val="24"/>
        </w:rPr>
        <w:t>.</w:t>
      </w:r>
      <w:r w:rsidRPr="00F922FD">
        <w:rPr>
          <w:rFonts w:ascii="Times New Roman" w:hAnsi="Times New Roman" w:cs="Times New Roman"/>
          <w:sz w:val="24"/>
        </w:rPr>
        <w:t xml:space="preserve"> (</w:t>
      </w:r>
      <w:r>
        <w:rPr>
          <w:rFonts w:ascii="Times New Roman" w:hAnsi="Times New Roman" w:cs="Times New Roman"/>
          <w:sz w:val="24"/>
        </w:rPr>
        <w:t>2</w:t>
      </w:r>
      <w:r w:rsidRPr="00F922FD">
        <w:rPr>
          <w:rFonts w:ascii="Times New Roman" w:hAnsi="Times New Roman" w:cs="Times New Roman"/>
          <w:sz w:val="24"/>
        </w:rPr>
        <w:t xml:space="preserve">) </w:t>
      </w:r>
      <w:r>
        <w:rPr>
          <w:rFonts w:ascii="Times New Roman" w:hAnsi="Times New Roman" w:cs="Times New Roman"/>
          <w:sz w:val="24"/>
        </w:rPr>
        <w:t>T</w:t>
      </w:r>
      <w:r w:rsidRPr="00F922FD">
        <w:rPr>
          <w:rFonts w:ascii="Times New Roman" w:hAnsi="Times New Roman" w:cs="Times New Roman"/>
          <w:sz w:val="24"/>
        </w:rPr>
        <w:t>he qualifications for appointment of a High Court Judge</w:t>
      </w:r>
      <w:r>
        <w:rPr>
          <w:rFonts w:ascii="Times New Roman" w:hAnsi="Times New Roman" w:cs="Times New Roman"/>
          <w:sz w:val="24"/>
        </w:rPr>
        <w:t>s</w:t>
      </w:r>
      <w:r w:rsidRPr="00F922FD">
        <w:rPr>
          <w:rFonts w:ascii="Times New Roman" w:hAnsi="Times New Roman" w:cs="Times New Roman"/>
          <w:sz w:val="24"/>
        </w:rPr>
        <w:t xml:space="preserve"> and </w:t>
      </w:r>
      <w:r>
        <w:rPr>
          <w:rFonts w:ascii="Times New Roman" w:hAnsi="Times New Roman" w:cs="Times New Roman"/>
          <w:sz w:val="24"/>
        </w:rPr>
        <w:t>other legal</w:t>
      </w:r>
      <w:r w:rsidRPr="00F922FD">
        <w:rPr>
          <w:rFonts w:ascii="Times New Roman" w:hAnsi="Times New Roman" w:cs="Times New Roman"/>
          <w:sz w:val="24"/>
        </w:rPr>
        <w:t xml:space="preserve"> safeguards ensure the independence and efficiency of the Judges </w:t>
      </w:r>
      <w:r>
        <w:rPr>
          <w:rFonts w:ascii="Times New Roman" w:hAnsi="Times New Roman" w:cs="Times New Roman"/>
          <w:sz w:val="24"/>
        </w:rPr>
        <w:t>chair</w:t>
      </w:r>
      <w:r w:rsidRPr="00F922FD">
        <w:rPr>
          <w:rFonts w:ascii="Times New Roman" w:hAnsi="Times New Roman" w:cs="Times New Roman"/>
          <w:sz w:val="24"/>
        </w:rPr>
        <w:t xml:space="preserve"> the High Courts. The conditions prescribed for Members of Tribunals are not comparable (</w:t>
      </w:r>
      <w:r>
        <w:rPr>
          <w:rFonts w:ascii="Times New Roman" w:hAnsi="Times New Roman" w:cs="Times New Roman"/>
          <w:sz w:val="24"/>
        </w:rPr>
        <w:t>3</w:t>
      </w:r>
      <w:r w:rsidRPr="00F922FD">
        <w:rPr>
          <w:rFonts w:ascii="Times New Roman" w:hAnsi="Times New Roman" w:cs="Times New Roman"/>
          <w:sz w:val="24"/>
        </w:rPr>
        <w:t>) While the jurisdiction of the High Courts is protected</w:t>
      </w:r>
      <w:r w:rsidR="0022354B">
        <w:rPr>
          <w:rFonts w:ascii="Times New Roman" w:hAnsi="Times New Roman" w:cs="Times New Roman"/>
          <w:sz w:val="24"/>
        </w:rPr>
        <w:t xml:space="preserve"> by the Constitution</w:t>
      </w:r>
      <w:r w:rsidRPr="00F922FD">
        <w:rPr>
          <w:rFonts w:ascii="Times New Roman" w:hAnsi="Times New Roman" w:cs="Times New Roman"/>
          <w:sz w:val="24"/>
        </w:rPr>
        <w:t>, a Tribunal can be abolished by simply repealing its parent statute</w:t>
      </w:r>
      <w:r w:rsidR="0022354B">
        <w:rPr>
          <w:rFonts w:ascii="Times New Roman" w:hAnsi="Times New Roman" w:cs="Times New Roman"/>
          <w:sz w:val="24"/>
        </w:rPr>
        <w:t>.</w:t>
      </w:r>
      <w:r w:rsidRPr="00F922FD">
        <w:rPr>
          <w:rFonts w:ascii="Times New Roman" w:hAnsi="Times New Roman" w:cs="Times New Roman"/>
          <w:sz w:val="24"/>
        </w:rPr>
        <w:t xml:space="preserve"> (</w:t>
      </w:r>
      <w:r w:rsidR="0022354B">
        <w:rPr>
          <w:rFonts w:ascii="Times New Roman" w:hAnsi="Times New Roman" w:cs="Times New Roman"/>
          <w:sz w:val="24"/>
        </w:rPr>
        <w:t>4</w:t>
      </w:r>
      <w:r w:rsidRPr="00F922FD">
        <w:rPr>
          <w:rFonts w:ascii="Times New Roman" w:hAnsi="Times New Roman" w:cs="Times New Roman"/>
          <w:sz w:val="24"/>
        </w:rPr>
        <w:t>) While the expenditure of the High Courts is charged to the Consolidated Fund of the States, the Tribunals are dependent upon the appropr</w:t>
      </w:r>
      <w:r w:rsidR="0022354B">
        <w:rPr>
          <w:rFonts w:ascii="Times New Roman" w:hAnsi="Times New Roman" w:cs="Times New Roman"/>
          <w:sz w:val="24"/>
        </w:rPr>
        <w:t xml:space="preserve">iate Government for the </w:t>
      </w:r>
      <w:r w:rsidR="00204181">
        <w:rPr>
          <w:rFonts w:ascii="Times New Roman" w:hAnsi="Times New Roman" w:cs="Times New Roman"/>
          <w:sz w:val="24"/>
        </w:rPr>
        <w:t>granting</w:t>
      </w:r>
      <w:r w:rsidR="0022354B">
        <w:rPr>
          <w:rFonts w:ascii="Times New Roman" w:hAnsi="Times New Roman" w:cs="Times New Roman"/>
          <w:sz w:val="24"/>
        </w:rPr>
        <w:t xml:space="preserve"> their funds</w:t>
      </w:r>
      <w:r w:rsidRPr="00F922FD">
        <w:rPr>
          <w:rFonts w:ascii="Times New Roman" w:hAnsi="Times New Roman" w:cs="Times New Roman"/>
          <w:sz w:val="24"/>
        </w:rPr>
        <w:t>.</w:t>
      </w:r>
    </w:p>
    <w:p w:rsidR="0022354B" w:rsidRDefault="0022354B" w:rsidP="00F922FD">
      <w:pPr>
        <w:pStyle w:val="ListParagraph"/>
        <w:numPr>
          <w:ilvl w:val="0"/>
          <w:numId w:val="9"/>
        </w:numPr>
        <w:jc w:val="both"/>
        <w:rPr>
          <w:rFonts w:ascii="Times New Roman" w:hAnsi="Times New Roman" w:cs="Times New Roman"/>
          <w:sz w:val="24"/>
        </w:rPr>
      </w:pPr>
      <w:r>
        <w:rPr>
          <w:rFonts w:ascii="Times New Roman" w:hAnsi="Times New Roman" w:cs="Times New Roman"/>
          <w:sz w:val="24"/>
        </w:rPr>
        <w:t>E</w:t>
      </w:r>
      <w:r w:rsidR="00F922FD" w:rsidRPr="0022354B">
        <w:rPr>
          <w:rFonts w:ascii="Times New Roman" w:hAnsi="Times New Roman" w:cs="Times New Roman"/>
          <w:sz w:val="24"/>
        </w:rPr>
        <w:t>very High Court has</w:t>
      </w:r>
      <w:r>
        <w:rPr>
          <w:rFonts w:ascii="Times New Roman" w:hAnsi="Times New Roman" w:cs="Times New Roman"/>
          <w:sz w:val="24"/>
        </w:rPr>
        <w:t xml:space="preserve"> under</w:t>
      </w:r>
      <w:r w:rsidR="00F922FD" w:rsidRPr="0022354B">
        <w:rPr>
          <w:rFonts w:ascii="Times New Roman" w:hAnsi="Times New Roman" w:cs="Times New Roman"/>
          <w:sz w:val="24"/>
        </w:rPr>
        <w:t xml:space="preserve"> Articles 226 and 227, the power to issue writs or orders to all authorities of the </w:t>
      </w:r>
      <w:r w:rsidR="00204181" w:rsidRPr="0022354B">
        <w:rPr>
          <w:rFonts w:ascii="Times New Roman" w:hAnsi="Times New Roman" w:cs="Times New Roman"/>
          <w:sz w:val="24"/>
        </w:rPr>
        <w:t>State, which</w:t>
      </w:r>
      <w:r w:rsidR="00F922FD" w:rsidRPr="0022354B">
        <w:rPr>
          <w:rFonts w:ascii="Times New Roman" w:hAnsi="Times New Roman" w:cs="Times New Roman"/>
          <w:sz w:val="24"/>
        </w:rPr>
        <w:t xml:space="preserve"> function within its territorial jurisdiction. In such a </w:t>
      </w:r>
      <w:r w:rsidR="00204181" w:rsidRPr="0022354B">
        <w:rPr>
          <w:rFonts w:ascii="Times New Roman" w:hAnsi="Times New Roman" w:cs="Times New Roman"/>
          <w:sz w:val="24"/>
        </w:rPr>
        <w:t>situation,</w:t>
      </w:r>
      <w:r w:rsidR="00F922FD" w:rsidRPr="0022354B">
        <w:rPr>
          <w:rFonts w:ascii="Times New Roman" w:hAnsi="Times New Roman" w:cs="Times New Roman"/>
          <w:sz w:val="24"/>
        </w:rPr>
        <w:t xml:space="preserve"> no Tribunal located within the territorial jurisdiction of a High Court can disregard the law declared by it. The impugned constitutional provisions, </w:t>
      </w:r>
      <w:r w:rsidRPr="0022354B">
        <w:rPr>
          <w:rFonts w:ascii="Times New Roman" w:hAnsi="Times New Roman" w:cs="Times New Roman"/>
          <w:sz w:val="24"/>
        </w:rPr>
        <w:t>as</w:t>
      </w:r>
      <w:r w:rsidR="00F922FD" w:rsidRPr="0022354B">
        <w:rPr>
          <w:rFonts w:ascii="Times New Roman" w:hAnsi="Times New Roman" w:cs="Times New Roman"/>
          <w:sz w:val="24"/>
        </w:rPr>
        <w:t xml:space="preserve"> far as they seek to </w:t>
      </w:r>
      <w:r w:rsidRPr="0022354B">
        <w:rPr>
          <w:rFonts w:ascii="Times New Roman" w:hAnsi="Times New Roman" w:cs="Times New Roman"/>
          <w:sz w:val="24"/>
        </w:rPr>
        <w:t>d</w:t>
      </w:r>
      <w:r>
        <w:rPr>
          <w:rFonts w:ascii="Times New Roman" w:hAnsi="Times New Roman" w:cs="Times New Roman"/>
          <w:sz w:val="24"/>
        </w:rPr>
        <w:t>ispossess</w:t>
      </w:r>
      <w:r w:rsidR="00F922FD" w:rsidRPr="0022354B">
        <w:rPr>
          <w:rFonts w:ascii="Times New Roman" w:hAnsi="Times New Roman" w:cs="Times New Roman"/>
          <w:sz w:val="24"/>
        </w:rPr>
        <w:t xml:space="preserve"> the High Courts of their power of superintendence over all situated within their territorial jurisdiction, violate the basic structure of the Constitution.</w:t>
      </w:r>
    </w:p>
    <w:p w:rsidR="00F922FD" w:rsidRPr="0022354B" w:rsidRDefault="00F922FD" w:rsidP="00F922FD">
      <w:pPr>
        <w:pStyle w:val="ListParagraph"/>
        <w:numPr>
          <w:ilvl w:val="0"/>
          <w:numId w:val="9"/>
        </w:numPr>
        <w:jc w:val="both"/>
        <w:rPr>
          <w:rFonts w:ascii="Times New Roman" w:hAnsi="Times New Roman" w:cs="Times New Roman"/>
          <w:sz w:val="24"/>
        </w:rPr>
      </w:pPr>
      <w:r w:rsidRPr="0022354B">
        <w:rPr>
          <w:rFonts w:ascii="Times New Roman" w:hAnsi="Times New Roman" w:cs="Times New Roman"/>
          <w:sz w:val="24"/>
        </w:rPr>
        <w:t>The High Courts had been in existence since the 19</w:t>
      </w:r>
      <w:r w:rsidRPr="0022354B">
        <w:rPr>
          <w:rFonts w:ascii="Times New Roman" w:hAnsi="Times New Roman" w:cs="Times New Roman"/>
          <w:sz w:val="24"/>
          <w:vertAlign w:val="superscript"/>
        </w:rPr>
        <w:t>th</w:t>
      </w:r>
      <w:r w:rsidRPr="0022354B">
        <w:rPr>
          <w:rFonts w:ascii="Times New Roman" w:hAnsi="Times New Roman" w:cs="Times New Roman"/>
          <w:sz w:val="24"/>
        </w:rPr>
        <w:t xml:space="preserve"> century enabling them to win the confidence of the people. A Tribunal, being a new </w:t>
      </w:r>
      <w:r w:rsidR="0022354B">
        <w:rPr>
          <w:rFonts w:ascii="Times New Roman" w:hAnsi="Times New Roman" w:cs="Times New Roman"/>
          <w:sz w:val="24"/>
        </w:rPr>
        <w:t>instrument</w:t>
      </w:r>
      <w:r w:rsidRPr="0022354B">
        <w:rPr>
          <w:rFonts w:ascii="Times New Roman" w:hAnsi="Times New Roman" w:cs="Times New Roman"/>
          <w:sz w:val="24"/>
        </w:rPr>
        <w:t xml:space="preserve"> of the executive, would not be able to recreate a similar tradition and </w:t>
      </w:r>
      <w:r w:rsidR="0022354B">
        <w:rPr>
          <w:rFonts w:ascii="Times New Roman" w:hAnsi="Times New Roman" w:cs="Times New Roman"/>
          <w:sz w:val="24"/>
        </w:rPr>
        <w:t>faith</w:t>
      </w:r>
      <w:r w:rsidRPr="0022354B">
        <w:rPr>
          <w:rFonts w:ascii="Times New Roman" w:hAnsi="Times New Roman" w:cs="Times New Roman"/>
          <w:sz w:val="24"/>
        </w:rPr>
        <w:t xml:space="preserve"> overnight.</w:t>
      </w:r>
    </w:p>
    <w:p w:rsidR="00F922FD" w:rsidRPr="00FA0B30" w:rsidRDefault="00FA0B30" w:rsidP="00FA0B30">
      <w:pPr>
        <w:rPr>
          <w:rFonts w:ascii="Times New Roman" w:hAnsi="Times New Roman" w:cs="Times New Roman"/>
          <w:b/>
          <w:sz w:val="28"/>
          <w:szCs w:val="24"/>
        </w:rPr>
      </w:pPr>
      <w:r w:rsidRPr="00FA0B30">
        <w:rPr>
          <w:rFonts w:ascii="Times New Roman" w:hAnsi="Times New Roman" w:cs="Times New Roman"/>
          <w:b/>
          <w:sz w:val="28"/>
          <w:szCs w:val="24"/>
        </w:rPr>
        <w:t>Respondent’s Contention</w:t>
      </w:r>
    </w:p>
    <w:p w:rsidR="0022354B" w:rsidRDefault="00F922FD" w:rsidP="00F922FD">
      <w:pPr>
        <w:pStyle w:val="ListParagraph"/>
        <w:numPr>
          <w:ilvl w:val="0"/>
          <w:numId w:val="10"/>
        </w:numPr>
        <w:jc w:val="both"/>
        <w:rPr>
          <w:rFonts w:ascii="Times New Roman" w:hAnsi="Times New Roman" w:cs="Times New Roman"/>
          <w:sz w:val="24"/>
        </w:rPr>
      </w:pPr>
      <w:r w:rsidRPr="0022354B">
        <w:rPr>
          <w:rFonts w:ascii="Times New Roman" w:hAnsi="Times New Roman" w:cs="Times New Roman"/>
          <w:sz w:val="24"/>
        </w:rPr>
        <w:lastRenderedPageBreak/>
        <w:t>To uphold the validity of the impugned constitutional provisions and to allow such Tribunals to exercise the jurisdiction under Article 226 of the Constitution.</w:t>
      </w:r>
    </w:p>
    <w:p w:rsidR="008A59C7" w:rsidRDefault="00F922FD" w:rsidP="00F922FD">
      <w:pPr>
        <w:pStyle w:val="ListParagraph"/>
        <w:numPr>
          <w:ilvl w:val="0"/>
          <w:numId w:val="10"/>
        </w:numPr>
        <w:jc w:val="both"/>
        <w:rPr>
          <w:rFonts w:ascii="Times New Roman" w:hAnsi="Times New Roman" w:cs="Times New Roman"/>
          <w:sz w:val="24"/>
        </w:rPr>
      </w:pPr>
      <w:r w:rsidRPr="0022354B">
        <w:rPr>
          <w:rFonts w:ascii="Times New Roman" w:hAnsi="Times New Roman" w:cs="Times New Roman"/>
          <w:sz w:val="24"/>
        </w:rPr>
        <w:t xml:space="preserve">It is a well-established proposition in law that the jurisdiction of this Court under Article 32 of the Constitution is </w:t>
      </w:r>
      <w:r w:rsidR="0022354B">
        <w:rPr>
          <w:rFonts w:ascii="Times New Roman" w:hAnsi="Times New Roman" w:cs="Times New Roman"/>
          <w:sz w:val="24"/>
        </w:rPr>
        <w:t>sacred</w:t>
      </w:r>
      <w:r w:rsidRPr="0022354B">
        <w:rPr>
          <w:rFonts w:ascii="Times New Roman" w:hAnsi="Times New Roman" w:cs="Times New Roman"/>
          <w:sz w:val="24"/>
        </w:rPr>
        <w:t xml:space="preserve"> and is </w:t>
      </w:r>
      <w:r w:rsidR="008A59C7">
        <w:rPr>
          <w:rFonts w:ascii="Times New Roman" w:hAnsi="Times New Roman" w:cs="Times New Roman"/>
          <w:sz w:val="24"/>
        </w:rPr>
        <w:t>beyond any doubt</w:t>
      </w:r>
      <w:r w:rsidRPr="0022354B">
        <w:rPr>
          <w:rFonts w:ascii="Times New Roman" w:hAnsi="Times New Roman" w:cs="Times New Roman"/>
          <w:sz w:val="24"/>
        </w:rPr>
        <w:t xml:space="preserve"> a part of the basic structure of the Constitution. This position had been clearly </w:t>
      </w:r>
      <w:r w:rsidR="008A59C7">
        <w:rPr>
          <w:rFonts w:ascii="Times New Roman" w:hAnsi="Times New Roman" w:cs="Times New Roman"/>
          <w:sz w:val="24"/>
        </w:rPr>
        <w:t>affirm</w:t>
      </w:r>
      <w:r w:rsidRPr="0022354B">
        <w:rPr>
          <w:rFonts w:ascii="Times New Roman" w:hAnsi="Times New Roman" w:cs="Times New Roman"/>
          <w:sz w:val="24"/>
        </w:rPr>
        <w:t>ed well before the 42</w:t>
      </w:r>
      <w:r w:rsidRPr="008A59C7">
        <w:rPr>
          <w:rFonts w:ascii="Times New Roman" w:hAnsi="Times New Roman" w:cs="Times New Roman"/>
          <w:sz w:val="24"/>
          <w:vertAlign w:val="superscript"/>
        </w:rPr>
        <w:t>nd</w:t>
      </w:r>
      <w:r w:rsidRPr="0022354B">
        <w:rPr>
          <w:rFonts w:ascii="Times New Roman" w:hAnsi="Times New Roman" w:cs="Times New Roman"/>
          <w:sz w:val="24"/>
        </w:rPr>
        <w:t xml:space="preserve"> Ame</w:t>
      </w:r>
      <w:r w:rsidR="008A59C7">
        <w:rPr>
          <w:rFonts w:ascii="Times New Roman" w:hAnsi="Times New Roman" w:cs="Times New Roman"/>
          <w:sz w:val="24"/>
        </w:rPr>
        <w:t>ndment to the Constitution was made</w:t>
      </w:r>
      <w:r w:rsidRPr="0022354B">
        <w:rPr>
          <w:rFonts w:ascii="Times New Roman" w:hAnsi="Times New Roman" w:cs="Times New Roman"/>
          <w:sz w:val="24"/>
        </w:rPr>
        <w:t xml:space="preserve">. </w:t>
      </w:r>
      <w:r w:rsidR="008A59C7">
        <w:rPr>
          <w:rFonts w:ascii="Times New Roman" w:hAnsi="Times New Roman" w:cs="Times New Roman"/>
          <w:sz w:val="24"/>
        </w:rPr>
        <w:t>Hence</w:t>
      </w:r>
      <w:r w:rsidRPr="0022354B">
        <w:rPr>
          <w:rFonts w:ascii="Times New Roman" w:hAnsi="Times New Roman" w:cs="Times New Roman"/>
          <w:sz w:val="24"/>
        </w:rPr>
        <w:t xml:space="preserve">, Parliament must be deemed to have been </w:t>
      </w:r>
      <w:r w:rsidR="008A59C7">
        <w:rPr>
          <w:rFonts w:ascii="Times New Roman" w:hAnsi="Times New Roman" w:cs="Times New Roman"/>
          <w:sz w:val="24"/>
        </w:rPr>
        <w:t>well aware</w:t>
      </w:r>
      <w:r w:rsidRPr="0022354B">
        <w:rPr>
          <w:rFonts w:ascii="Times New Roman" w:hAnsi="Times New Roman" w:cs="Times New Roman"/>
          <w:sz w:val="24"/>
        </w:rPr>
        <w:t xml:space="preserve"> of such a position and it must be concluded that the jurisdiction under Article 32 </w:t>
      </w:r>
      <w:r w:rsidR="008A59C7">
        <w:rPr>
          <w:rFonts w:ascii="Times New Roman" w:hAnsi="Times New Roman" w:cs="Times New Roman"/>
          <w:sz w:val="24"/>
        </w:rPr>
        <w:t xml:space="preserve">and 226 </w:t>
      </w:r>
      <w:r w:rsidRPr="0022354B">
        <w:rPr>
          <w:rFonts w:ascii="Times New Roman" w:hAnsi="Times New Roman" w:cs="Times New Roman"/>
          <w:sz w:val="24"/>
        </w:rPr>
        <w:t xml:space="preserve">was </w:t>
      </w:r>
      <w:r w:rsidR="008A59C7">
        <w:rPr>
          <w:rFonts w:ascii="Times New Roman" w:hAnsi="Times New Roman" w:cs="Times New Roman"/>
          <w:sz w:val="24"/>
        </w:rPr>
        <w:t>never aimed</w:t>
      </w:r>
      <w:r w:rsidRPr="0022354B">
        <w:rPr>
          <w:rFonts w:ascii="Times New Roman" w:hAnsi="Times New Roman" w:cs="Times New Roman"/>
          <w:sz w:val="24"/>
        </w:rPr>
        <w:t xml:space="preserve"> to be affected. However, the jurisdiction of the High Courts under Article 226 was sought to be </w:t>
      </w:r>
      <w:r w:rsidR="008A59C7">
        <w:rPr>
          <w:rFonts w:ascii="Times New Roman" w:hAnsi="Times New Roman" w:cs="Times New Roman"/>
          <w:sz w:val="24"/>
        </w:rPr>
        <w:t>divested</w:t>
      </w:r>
      <w:r w:rsidRPr="0022354B">
        <w:rPr>
          <w:rFonts w:ascii="Times New Roman" w:hAnsi="Times New Roman" w:cs="Times New Roman"/>
          <w:sz w:val="24"/>
        </w:rPr>
        <w:t xml:space="preserve"> by creating alternative institutions.</w:t>
      </w:r>
    </w:p>
    <w:p w:rsidR="008A59C7" w:rsidRDefault="00F922FD" w:rsidP="00367E14">
      <w:pPr>
        <w:pStyle w:val="ListParagraph"/>
        <w:numPr>
          <w:ilvl w:val="0"/>
          <w:numId w:val="10"/>
        </w:numPr>
        <w:jc w:val="both"/>
        <w:rPr>
          <w:rFonts w:ascii="Times New Roman" w:hAnsi="Times New Roman" w:cs="Times New Roman"/>
          <w:sz w:val="24"/>
        </w:rPr>
      </w:pPr>
      <w:r w:rsidRPr="008A59C7">
        <w:rPr>
          <w:rFonts w:ascii="Times New Roman" w:hAnsi="Times New Roman" w:cs="Times New Roman"/>
          <w:sz w:val="24"/>
        </w:rPr>
        <w:t xml:space="preserve">Articles 323A and 323B do not seek to </w:t>
      </w:r>
      <w:r w:rsidR="008A59C7" w:rsidRPr="008A59C7">
        <w:rPr>
          <w:rFonts w:ascii="Times New Roman" w:hAnsi="Times New Roman" w:cs="Times New Roman"/>
          <w:sz w:val="24"/>
        </w:rPr>
        <w:t>divest</w:t>
      </w:r>
      <w:r w:rsidRPr="008A59C7">
        <w:rPr>
          <w:rFonts w:ascii="Times New Roman" w:hAnsi="Times New Roman" w:cs="Times New Roman"/>
          <w:sz w:val="24"/>
        </w:rPr>
        <w:t xml:space="preserve"> the supervisory jurisdiction of the High Courts over </w:t>
      </w:r>
      <w:r w:rsidR="008A59C7" w:rsidRPr="008A59C7">
        <w:rPr>
          <w:rFonts w:ascii="Times New Roman" w:hAnsi="Times New Roman" w:cs="Times New Roman"/>
          <w:sz w:val="24"/>
        </w:rPr>
        <w:t>the</w:t>
      </w:r>
      <w:r w:rsidRPr="008A59C7">
        <w:rPr>
          <w:rFonts w:ascii="Times New Roman" w:hAnsi="Times New Roman" w:cs="Times New Roman"/>
          <w:sz w:val="24"/>
        </w:rPr>
        <w:t xml:space="preserve"> Tribunals situated within their territorial jurisdiction. </w:t>
      </w:r>
    </w:p>
    <w:p w:rsidR="00F922FD" w:rsidRPr="008A59C7" w:rsidRDefault="00F922FD" w:rsidP="00367E14">
      <w:pPr>
        <w:pStyle w:val="ListParagraph"/>
        <w:numPr>
          <w:ilvl w:val="0"/>
          <w:numId w:val="10"/>
        </w:numPr>
        <w:jc w:val="both"/>
        <w:rPr>
          <w:rFonts w:ascii="Times New Roman" w:hAnsi="Times New Roman" w:cs="Times New Roman"/>
          <w:sz w:val="24"/>
        </w:rPr>
      </w:pPr>
      <w:r w:rsidRPr="008A59C7">
        <w:rPr>
          <w:rFonts w:ascii="Times New Roman" w:hAnsi="Times New Roman" w:cs="Times New Roman"/>
          <w:sz w:val="24"/>
        </w:rPr>
        <w:t xml:space="preserve">Since the decisions of </w:t>
      </w:r>
      <w:r w:rsidR="00204181" w:rsidRPr="008A59C7">
        <w:rPr>
          <w:rFonts w:ascii="Times New Roman" w:hAnsi="Times New Roman" w:cs="Times New Roman"/>
          <w:sz w:val="24"/>
        </w:rPr>
        <w:t>this,</w:t>
      </w:r>
      <w:r w:rsidRPr="008A59C7">
        <w:rPr>
          <w:rFonts w:ascii="Times New Roman" w:hAnsi="Times New Roman" w:cs="Times New Roman"/>
          <w:sz w:val="24"/>
        </w:rPr>
        <w:t xml:space="preserve"> Court in </w:t>
      </w:r>
      <w:r w:rsidRPr="008A59C7">
        <w:rPr>
          <w:rFonts w:ascii="Times New Roman" w:hAnsi="Times New Roman" w:cs="Times New Roman"/>
          <w:b/>
          <w:sz w:val="24"/>
        </w:rPr>
        <w:t>Amulya Chandra’s case</w:t>
      </w:r>
      <w:r w:rsidR="008A59C7">
        <w:rPr>
          <w:rStyle w:val="FootnoteReference"/>
          <w:rFonts w:ascii="Times New Roman" w:hAnsi="Times New Roman" w:cs="Times New Roman"/>
          <w:sz w:val="24"/>
        </w:rPr>
        <w:footnoteReference w:id="13"/>
      </w:r>
      <w:r w:rsidRPr="008A59C7">
        <w:rPr>
          <w:rFonts w:ascii="Times New Roman" w:hAnsi="Times New Roman" w:cs="Times New Roman"/>
          <w:sz w:val="24"/>
        </w:rPr>
        <w:t xml:space="preserve">and </w:t>
      </w:r>
      <w:r w:rsidRPr="008A59C7">
        <w:rPr>
          <w:rFonts w:ascii="Times New Roman" w:hAnsi="Times New Roman" w:cs="Times New Roman"/>
          <w:b/>
          <w:sz w:val="24"/>
        </w:rPr>
        <w:t>Dr. Mahabal Ram’s case</w:t>
      </w:r>
      <w:r w:rsidR="008A59C7">
        <w:rPr>
          <w:rStyle w:val="FootnoteReference"/>
          <w:rFonts w:ascii="Times New Roman" w:hAnsi="Times New Roman" w:cs="Times New Roman"/>
          <w:sz w:val="24"/>
        </w:rPr>
        <w:footnoteReference w:id="14"/>
      </w:r>
      <w:r w:rsidRPr="008A59C7">
        <w:rPr>
          <w:rFonts w:ascii="Times New Roman" w:hAnsi="Times New Roman" w:cs="Times New Roman"/>
          <w:sz w:val="24"/>
        </w:rPr>
        <w:t xml:space="preserve"> had clearly held that matters relating to the vires of a provision are to be dealt with by a </w:t>
      </w:r>
      <w:r w:rsidR="000A1C98">
        <w:rPr>
          <w:rFonts w:ascii="Times New Roman" w:hAnsi="Times New Roman" w:cs="Times New Roman"/>
          <w:sz w:val="24"/>
        </w:rPr>
        <w:t xml:space="preserve">Division </w:t>
      </w:r>
      <w:r w:rsidRPr="008A59C7">
        <w:rPr>
          <w:rFonts w:ascii="Times New Roman" w:hAnsi="Times New Roman" w:cs="Times New Roman"/>
          <w:sz w:val="24"/>
        </w:rPr>
        <w:t>Bench consisting of a judicial member</w:t>
      </w:r>
      <w:r w:rsidR="000A1C98">
        <w:rPr>
          <w:rFonts w:ascii="Times New Roman" w:hAnsi="Times New Roman" w:cs="Times New Roman"/>
          <w:sz w:val="24"/>
        </w:rPr>
        <w:t>,</w:t>
      </w:r>
      <w:r w:rsidR="000A1C98" w:rsidRPr="000A1C98">
        <w:rPr>
          <w:rFonts w:ascii="Times New Roman" w:hAnsi="Times New Roman" w:cs="Times New Roman"/>
          <w:sz w:val="24"/>
        </w:rPr>
        <w:t>Section 5(6) of the Administrative Tribunals Act, 1985 as valid and constitutional</w:t>
      </w:r>
      <w:r w:rsidR="000A1C98">
        <w:rPr>
          <w:rFonts w:ascii="Times New Roman" w:hAnsi="Times New Roman" w:cs="Times New Roman"/>
          <w:sz w:val="24"/>
        </w:rPr>
        <w:t>.</w:t>
      </w:r>
    </w:p>
    <w:p w:rsidR="00F922FD" w:rsidRPr="00F922FD" w:rsidRDefault="00FA0B30" w:rsidP="00FA0B30">
      <w:pPr>
        <w:rPr>
          <w:rFonts w:ascii="Times New Roman" w:hAnsi="Times New Roman" w:cs="Times New Roman"/>
          <w:b/>
          <w:sz w:val="24"/>
        </w:rPr>
      </w:pPr>
      <w:r w:rsidRPr="00F922FD">
        <w:rPr>
          <w:rFonts w:ascii="Times New Roman" w:hAnsi="Times New Roman" w:cs="Times New Roman"/>
          <w:b/>
          <w:bCs/>
          <w:sz w:val="24"/>
        </w:rPr>
        <w:t>Ratio Decendi</w:t>
      </w:r>
    </w:p>
    <w:p w:rsidR="000A1C98" w:rsidRDefault="00F922FD" w:rsidP="000A1C98">
      <w:pPr>
        <w:pStyle w:val="ListParagraph"/>
        <w:numPr>
          <w:ilvl w:val="0"/>
          <w:numId w:val="12"/>
        </w:numPr>
        <w:jc w:val="both"/>
        <w:rPr>
          <w:rFonts w:ascii="Times New Roman" w:hAnsi="Times New Roman" w:cs="Times New Roman"/>
          <w:sz w:val="24"/>
        </w:rPr>
      </w:pPr>
      <w:r w:rsidRPr="000A1C98">
        <w:rPr>
          <w:rFonts w:ascii="Times New Roman" w:hAnsi="Times New Roman" w:cs="Times New Roman"/>
          <w:sz w:val="24"/>
        </w:rPr>
        <w:t>Power of judicial review over legislative action vested in the High Courts and the Supreme Court under Articles 226 and 32 respectively is the basic structure of the Constitution and is beyond the scope of any amendment.</w:t>
      </w:r>
    </w:p>
    <w:p w:rsidR="000A1C98" w:rsidRDefault="00F922FD" w:rsidP="000A1C98">
      <w:pPr>
        <w:pStyle w:val="ListParagraph"/>
        <w:numPr>
          <w:ilvl w:val="0"/>
          <w:numId w:val="12"/>
        </w:numPr>
        <w:jc w:val="both"/>
        <w:rPr>
          <w:rFonts w:ascii="Times New Roman" w:hAnsi="Times New Roman" w:cs="Times New Roman"/>
          <w:sz w:val="24"/>
        </w:rPr>
      </w:pPr>
      <w:r w:rsidRPr="000A1C98">
        <w:rPr>
          <w:rFonts w:ascii="Times New Roman" w:hAnsi="Times New Roman" w:cs="Times New Roman"/>
          <w:sz w:val="24"/>
        </w:rPr>
        <w:t>Power of judicial superintendence over decisions of all courts and Tribunals within their jurisdiction is also the basic structure of the Constitution.</w:t>
      </w:r>
    </w:p>
    <w:p w:rsidR="000A1C98" w:rsidRDefault="00F922FD" w:rsidP="000A1C98">
      <w:pPr>
        <w:pStyle w:val="ListParagraph"/>
        <w:numPr>
          <w:ilvl w:val="0"/>
          <w:numId w:val="12"/>
        </w:numPr>
        <w:jc w:val="both"/>
        <w:rPr>
          <w:rFonts w:ascii="Times New Roman" w:hAnsi="Times New Roman" w:cs="Times New Roman"/>
          <w:sz w:val="24"/>
        </w:rPr>
      </w:pPr>
      <w:r w:rsidRPr="000A1C98">
        <w:rPr>
          <w:rFonts w:ascii="Times New Roman" w:hAnsi="Times New Roman" w:cs="Times New Roman"/>
          <w:sz w:val="24"/>
        </w:rPr>
        <w:t>Judicial review of legislative action in exercise of power by subordinate judiciary or Tribunals created under ordinary legislation cannot be to the exclusion of the High Courts and the Supreme Court. However, they can perform supplemental – as opposed to substitutional.</w:t>
      </w:r>
    </w:p>
    <w:p w:rsidR="000A1C98" w:rsidRDefault="00F922FD" w:rsidP="000A1C98">
      <w:pPr>
        <w:pStyle w:val="ListParagraph"/>
        <w:numPr>
          <w:ilvl w:val="0"/>
          <w:numId w:val="12"/>
        </w:numPr>
        <w:jc w:val="both"/>
        <w:rPr>
          <w:rFonts w:ascii="Times New Roman" w:hAnsi="Times New Roman" w:cs="Times New Roman"/>
          <w:sz w:val="24"/>
        </w:rPr>
      </w:pPr>
      <w:r w:rsidRPr="000A1C98">
        <w:rPr>
          <w:rFonts w:ascii="Times New Roman" w:hAnsi="Times New Roman" w:cs="Times New Roman"/>
          <w:sz w:val="24"/>
        </w:rPr>
        <w:t>Tribunals constituted under Articles 323A and 323B have the power to test vires of subordinate legislation except that of their parent statutes. All its decisions would be subject to scrutiny before Division Bench of their respective High Courts under Articles 226 and 227. No appeal would lie directly to the Supreme Court under Article 136. The said direction would operative prospectively.</w:t>
      </w:r>
    </w:p>
    <w:p w:rsidR="000A1C98" w:rsidRDefault="00F922FD" w:rsidP="000A1C98">
      <w:pPr>
        <w:pStyle w:val="ListParagraph"/>
        <w:numPr>
          <w:ilvl w:val="0"/>
          <w:numId w:val="12"/>
        </w:numPr>
        <w:jc w:val="both"/>
        <w:rPr>
          <w:rFonts w:ascii="Times New Roman" w:hAnsi="Times New Roman" w:cs="Times New Roman"/>
          <w:sz w:val="24"/>
        </w:rPr>
      </w:pPr>
      <w:r w:rsidRPr="000A1C98">
        <w:rPr>
          <w:rFonts w:ascii="Times New Roman" w:hAnsi="Times New Roman" w:cs="Times New Roman"/>
          <w:sz w:val="24"/>
        </w:rPr>
        <w:t xml:space="preserve">Appointment of Administrative members need not be </w:t>
      </w:r>
      <w:r w:rsidR="00204181" w:rsidRPr="000A1C98">
        <w:rPr>
          <w:rFonts w:ascii="Times New Roman" w:hAnsi="Times New Roman" w:cs="Times New Roman"/>
          <w:sz w:val="24"/>
        </w:rPr>
        <w:t>paralyzed</w:t>
      </w:r>
      <w:r w:rsidRPr="000A1C98">
        <w:rPr>
          <w:rFonts w:ascii="Times New Roman" w:hAnsi="Times New Roman" w:cs="Times New Roman"/>
          <w:sz w:val="24"/>
        </w:rPr>
        <w:t>.</w:t>
      </w:r>
    </w:p>
    <w:p w:rsidR="00F922FD" w:rsidRPr="000A1C98" w:rsidRDefault="00204181" w:rsidP="000A1C98">
      <w:pPr>
        <w:pStyle w:val="ListParagraph"/>
        <w:numPr>
          <w:ilvl w:val="0"/>
          <w:numId w:val="12"/>
        </w:numPr>
        <w:jc w:val="both"/>
        <w:rPr>
          <w:rFonts w:ascii="Times New Roman" w:hAnsi="Times New Roman" w:cs="Times New Roman"/>
          <w:sz w:val="24"/>
        </w:rPr>
      </w:pPr>
      <w:r w:rsidRPr="000A1C98">
        <w:rPr>
          <w:rFonts w:ascii="Times New Roman" w:hAnsi="Times New Roman" w:cs="Times New Roman"/>
          <w:sz w:val="24"/>
        </w:rPr>
        <w:t>Until</w:t>
      </w:r>
      <w:r w:rsidR="00F922FD" w:rsidRPr="000A1C98">
        <w:rPr>
          <w:rFonts w:ascii="Times New Roman" w:hAnsi="Times New Roman" w:cs="Times New Roman"/>
          <w:sz w:val="24"/>
        </w:rPr>
        <w:t xml:space="preserve"> a wholly independent body is set </w:t>
      </w:r>
      <w:r w:rsidRPr="000A1C98">
        <w:rPr>
          <w:rFonts w:ascii="Times New Roman" w:hAnsi="Times New Roman" w:cs="Times New Roman"/>
          <w:sz w:val="24"/>
        </w:rPr>
        <w:t>for</w:t>
      </w:r>
      <w:r w:rsidR="00F922FD" w:rsidRPr="000A1C98">
        <w:rPr>
          <w:rFonts w:ascii="Times New Roman" w:hAnsi="Times New Roman" w:cs="Times New Roman"/>
          <w:sz w:val="24"/>
        </w:rPr>
        <w:t xml:space="preserve"> overseeing the working of the Tribunals, all such Tribunals will be under single nodal ministry whose members would be Ministry of Law.</w:t>
      </w:r>
    </w:p>
    <w:p w:rsidR="00322562" w:rsidRDefault="00322562" w:rsidP="00573645">
      <w:pPr>
        <w:jc w:val="center"/>
        <w:rPr>
          <w:rFonts w:ascii="Times New Roman" w:hAnsi="Times New Roman" w:cs="Times New Roman"/>
          <w:b/>
          <w:sz w:val="24"/>
        </w:rPr>
      </w:pPr>
    </w:p>
    <w:p w:rsidR="00322562" w:rsidRDefault="00322562" w:rsidP="00573645">
      <w:pPr>
        <w:jc w:val="center"/>
        <w:rPr>
          <w:rFonts w:ascii="Times New Roman" w:hAnsi="Times New Roman" w:cs="Times New Roman"/>
          <w:b/>
          <w:sz w:val="24"/>
        </w:rPr>
      </w:pPr>
    </w:p>
    <w:p w:rsidR="00573645" w:rsidRPr="00FA0B30" w:rsidRDefault="00FA0B30" w:rsidP="00FA0B30">
      <w:pPr>
        <w:rPr>
          <w:rFonts w:ascii="Times New Roman" w:hAnsi="Times New Roman" w:cs="Times New Roman"/>
          <w:b/>
          <w:sz w:val="28"/>
          <w:szCs w:val="24"/>
        </w:rPr>
      </w:pPr>
      <w:r w:rsidRPr="00FA0B30">
        <w:rPr>
          <w:rFonts w:ascii="Times New Roman" w:hAnsi="Times New Roman" w:cs="Times New Roman"/>
          <w:b/>
          <w:sz w:val="28"/>
          <w:szCs w:val="24"/>
        </w:rPr>
        <w:t>Verdict</w:t>
      </w:r>
    </w:p>
    <w:p w:rsidR="00573645" w:rsidRDefault="00204181" w:rsidP="00573645">
      <w:pPr>
        <w:jc w:val="both"/>
        <w:rPr>
          <w:rFonts w:ascii="Times New Roman" w:hAnsi="Times New Roman" w:cs="Times New Roman"/>
          <w:sz w:val="24"/>
          <w:szCs w:val="24"/>
        </w:rPr>
      </w:pPr>
      <w:r w:rsidRPr="00204181">
        <w:rPr>
          <w:rFonts w:ascii="Times New Roman" w:hAnsi="Times New Roman" w:cs="Times New Roman"/>
          <w:sz w:val="24"/>
          <w:szCs w:val="24"/>
        </w:rPr>
        <w:t xml:space="preserve">Relying on the judgment of </w:t>
      </w:r>
      <w:r w:rsidRPr="00204181">
        <w:rPr>
          <w:rFonts w:ascii="Times New Roman" w:hAnsi="Times New Roman" w:cs="Times New Roman"/>
          <w:b/>
          <w:sz w:val="24"/>
          <w:szCs w:val="24"/>
        </w:rPr>
        <w:t>SakinalaHarinath and Ors. v. State of Andra Pradesh</w:t>
      </w:r>
      <w:r>
        <w:rPr>
          <w:rStyle w:val="FootnoteReference"/>
          <w:rFonts w:ascii="Times New Roman" w:hAnsi="Times New Roman" w:cs="Times New Roman"/>
          <w:sz w:val="24"/>
          <w:szCs w:val="24"/>
        </w:rPr>
        <w:footnoteReference w:id="15"/>
      </w:r>
      <w:r w:rsidRPr="00204181">
        <w:rPr>
          <w:rFonts w:ascii="Times New Roman" w:hAnsi="Times New Roman" w:cs="Times New Roman"/>
          <w:sz w:val="24"/>
          <w:szCs w:val="24"/>
        </w:rPr>
        <w:t>in which Article 323A(2)(d) of the Constitution was declared unconstitutional to the extent it empowers Parliament to exclude the jurisdictio</w:t>
      </w:r>
      <w:r>
        <w:rPr>
          <w:rFonts w:ascii="Times New Roman" w:hAnsi="Times New Roman" w:cs="Times New Roman"/>
          <w:sz w:val="24"/>
          <w:szCs w:val="24"/>
        </w:rPr>
        <w:t>n of the High Courts. in addition</w:t>
      </w:r>
      <w:r w:rsidRPr="00204181">
        <w:rPr>
          <w:rFonts w:ascii="Times New Roman" w:hAnsi="Times New Roman" w:cs="Times New Roman"/>
          <w:sz w:val="24"/>
          <w:szCs w:val="24"/>
        </w:rPr>
        <w:t xml:space="preserve">, Section 28 of the </w:t>
      </w:r>
      <w:r>
        <w:rPr>
          <w:rFonts w:ascii="Times New Roman" w:hAnsi="Times New Roman" w:cs="Times New Roman"/>
          <w:sz w:val="24"/>
          <w:szCs w:val="24"/>
        </w:rPr>
        <w:t>impugnated</w:t>
      </w:r>
      <w:r w:rsidRPr="00204181">
        <w:rPr>
          <w:rFonts w:ascii="Times New Roman" w:hAnsi="Times New Roman" w:cs="Times New Roman"/>
          <w:sz w:val="24"/>
          <w:szCs w:val="24"/>
        </w:rPr>
        <w:t>Act has also been held to be unconstitutional to the extent it divests the High Courts of jurisdiction under Article 226</w:t>
      </w:r>
      <w:r>
        <w:rPr>
          <w:rFonts w:ascii="Times New Roman" w:hAnsi="Times New Roman" w:cs="Times New Roman"/>
          <w:sz w:val="24"/>
          <w:szCs w:val="24"/>
        </w:rPr>
        <w:t>,</w:t>
      </w:r>
      <w:r w:rsidRPr="00204181">
        <w:rPr>
          <w:rFonts w:ascii="Times New Roman" w:hAnsi="Times New Roman" w:cs="Times New Roman"/>
          <w:sz w:val="24"/>
          <w:szCs w:val="24"/>
        </w:rPr>
        <w:t xml:space="preserve"> in relation to service matters.</w:t>
      </w:r>
      <w:r w:rsidR="00573645">
        <w:rPr>
          <w:rFonts w:ascii="Times New Roman" w:hAnsi="Times New Roman" w:cs="Times New Roman"/>
          <w:sz w:val="24"/>
          <w:szCs w:val="24"/>
        </w:rPr>
        <w:t xml:space="preserve">The Apex Court also held that the Section 28 of The Administrative Tribunals Act, 1985, the “exclusion </w:t>
      </w:r>
      <w:r w:rsidR="0085617E">
        <w:rPr>
          <w:rFonts w:ascii="Times New Roman" w:hAnsi="Times New Roman" w:cs="Times New Roman"/>
          <w:sz w:val="24"/>
          <w:szCs w:val="24"/>
        </w:rPr>
        <w:t>jurisdiction</w:t>
      </w:r>
      <w:r w:rsidR="00573645">
        <w:rPr>
          <w:rFonts w:ascii="Times New Roman" w:hAnsi="Times New Roman" w:cs="Times New Roman"/>
          <w:sz w:val="24"/>
          <w:szCs w:val="24"/>
        </w:rPr>
        <w:t>”</w:t>
      </w:r>
      <w:r w:rsidR="002A2445">
        <w:rPr>
          <w:rFonts w:ascii="Times New Roman" w:hAnsi="Times New Roman" w:cs="Times New Roman"/>
          <w:sz w:val="24"/>
          <w:szCs w:val="24"/>
        </w:rPr>
        <w:t xml:space="preserve"> of all other laws under the umbrella of Articles 323A and 323B to the extent that </w:t>
      </w:r>
      <w:r w:rsidR="0085617E">
        <w:rPr>
          <w:rFonts w:ascii="Times New Roman" w:hAnsi="Times New Roman" w:cs="Times New Roman"/>
          <w:sz w:val="24"/>
          <w:szCs w:val="24"/>
        </w:rPr>
        <w:t>exclude</w:t>
      </w:r>
      <w:r w:rsidR="002A2445">
        <w:rPr>
          <w:rFonts w:ascii="Times New Roman" w:hAnsi="Times New Roman" w:cs="Times New Roman"/>
          <w:sz w:val="24"/>
          <w:szCs w:val="24"/>
        </w:rPr>
        <w:t xml:space="preserve"> the jurisdictions of the </w:t>
      </w:r>
      <w:r w:rsidR="0085617E">
        <w:rPr>
          <w:rFonts w:ascii="Times New Roman" w:hAnsi="Times New Roman" w:cs="Times New Roman"/>
          <w:sz w:val="24"/>
          <w:szCs w:val="24"/>
        </w:rPr>
        <w:t>traditional</w:t>
      </w:r>
      <w:r w:rsidR="002A2445">
        <w:rPr>
          <w:rFonts w:ascii="Times New Roman" w:hAnsi="Times New Roman" w:cs="Times New Roman"/>
          <w:sz w:val="24"/>
          <w:szCs w:val="24"/>
        </w:rPr>
        <w:t xml:space="preserve"> judicial systems would be ultra vires to the Constitution.</w:t>
      </w:r>
    </w:p>
    <w:p w:rsidR="002A2445" w:rsidRDefault="002A2445" w:rsidP="00573645">
      <w:pPr>
        <w:jc w:val="both"/>
        <w:rPr>
          <w:rFonts w:ascii="Times New Roman" w:hAnsi="Times New Roman" w:cs="Times New Roman"/>
          <w:sz w:val="24"/>
          <w:szCs w:val="24"/>
        </w:rPr>
      </w:pPr>
      <w:r>
        <w:rPr>
          <w:rFonts w:ascii="Times New Roman" w:hAnsi="Times New Roman" w:cs="Times New Roman"/>
          <w:sz w:val="24"/>
          <w:szCs w:val="24"/>
        </w:rPr>
        <w:t xml:space="preserve">The jurisdiction of the High Courts and the Supreme Court are a part of the basic structure of the Constitution and are beyond the scope of amendments. The Tribunals play a supplemental role and not a substantive law. </w:t>
      </w:r>
    </w:p>
    <w:p w:rsidR="002A2445" w:rsidRDefault="002A2445" w:rsidP="00573645">
      <w:pPr>
        <w:jc w:val="both"/>
        <w:rPr>
          <w:rFonts w:ascii="Times New Roman" w:hAnsi="Times New Roman" w:cs="Times New Roman"/>
          <w:sz w:val="24"/>
          <w:szCs w:val="24"/>
        </w:rPr>
      </w:pPr>
      <w:r>
        <w:rPr>
          <w:rFonts w:ascii="Times New Roman" w:hAnsi="Times New Roman" w:cs="Times New Roman"/>
          <w:sz w:val="24"/>
          <w:szCs w:val="24"/>
        </w:rPr>
        <w:t>They can also examine the constitutionality of various statutes and rules</w:t>
      </w:r>
      <w:r w:rsidR="0048788D">
        <w:rPr>
          <w:rFonts w:ascii="Times New Roman" w:hAnsi="Times New Roman" w:cs="Times New Roman"/>
          <w:sz w:val="24"/>
          <w:szCs w:val="24"/>
        </w:rPr>
        <w:t xml:space="preserve"> of </w:t>
      </w:r>
      <w:r w:rsidR="00204181">
        <w:rPr>
          <w:rFonts w:ascii="Times New Roman" w:hAnsi="Times New Roman" w:cs="Times New Roman"/>
          <w:sz w:val="24"/>
          <w:szCs w:val="24"/>
        </w:rPr>
        <w:t>their</w:t>
      </w:r>
      <w:r w:rsidR="0048788D">
        <w:rPr>
          <w:rFonts w:ascii="Times New Roman" w:hAnsi="Times New Roman" w:cs="Times New Roman"/>
          <w:sz w:val="24"/>
          <w:szCs w:val="24"/>
        </w:rPr>
        <w:t xml:space="preserve"> parent Act</w:t>
      </w:r>
      <w:r>
        <w:rPr>
          <w:rFonts w:ascii="Times New Roman" w:hAnsi="Times New Roman" w:cs="Times New Roman"/>
          <w:sz w:val="24"/>
          <w:szCs w:val="24"/>
        </w:rPr>
        <w:t xml:space="preserve">, subject to certain limitations. The validity of their decisions </w:t>
      </w:r>
      <w:r w:rsidR="0085617E">
        <w:rPr>
          <w:rFonts w:ascii="Times New Roman" w:hAnsi="Times New Roman" w:cs="Times New Roman"/>
          <w:sz w:val="24"/>
          <w:szCs w:val="24"/>
        </w:rPr>
        <w:t>is</w:t>
      </w:r>
      <w:r>
        <w:rPr>
          <w:rFonts w:ascii="Times New Roman" w:hAnsi="Times New Roman" w:cs="Times New Roman"/>
          <w:sz w:val="24"/>
          <w:szCs w:val="24"/>
        </w:rPr>
        <w:t xml:space="preserve"> subject of scrutiny by a Division Bench of the High Court of the respective </w:t>
      </w:r>
      <w:r w:rsidR="00204181" w:rsidRPr="0048788D">
        <w:rPr>
          <w:rFonts w:ascii="Times New Roman" w:hAnsi="Times New Roman" w:cs="Times New Roman"/>
          <w:sz w:val="24"/>
          <w:szCs w:val="24"/>
        </w:rPr>
        <w:t>barring</w:t>
      </w:r>
      <w:r w:rsidR="0048788D" w:rsidRPr="0048788D">
        <w:rPr>
          <w:rFonts w:ascii="Times New Roman" w:hAnsi="Times New Roman" w:cs="Times New Roman"/>
          <w:sz w:val="24"/>
          <w:szCs w:val="24"/>
        </w:rPr>
        <w:t xml:space="preserve"> cases where the constitutionality of the parent Act is challenged, all questions regarding services must be raised only before an administrative tribunal, and writ would lie against an administrative tribunal’s decision to a High Court having jurisdiction over it. An appeal would also lie to the High Court from a tribunal’s decision</w:t>
      </w:r>
    </w:p>
    <w:p w:rsidR="00321DA6" w:rsidRDefault="002A2445" w:rsidP="00573645">
      <w:pPr>
        <w:jc w:val="both"/>
        <w:rPr>
          <w:rFonts w:ascii="Times New Roman" w:hAnsi="Times New Roman" w:cs="Times New Roman"/>
          <w:sz w:val="24"/>
          <w:szCs w:val="24"/>
        </w:rPr>
      </w:pPr>
      <w:r>
        <w:rPr>
          <w:rFonts w:ascii="Times New Roman" w:hAnsi="Times New Roman" w:cs="Times New Roman"/>
          <w:sz w:val="24"/>
          <w:szCs w:val="24"/>
        </w:rPr>
        <w:t xml:space="preserve">A </w:t>
      </w:r>
      <w:r w:rsidR="0073390B">
        <w:rPr>
          <w:rFonts w:ascii="Times New Roman" w:hAnsi="Times New Roman" w:cs="Times New Roman"/>
          <w:sz w:val="24"/>
          <w:szCs w:val="24"/>
        </w:rPr>
        <w:t>N</w:t>
      </w:r>
      <w:r w:rsidR="00FC1644">
        <w:rPr>
          <w:rFonts w:ascii="Times New Roman" w:hAnsi="Times New Roman" w:cs="Times New Roman"/>
          <w:sz w:val="24"/>
          <w:szCs w:val="24"/>
        </w:rPr>
        <w:t>odal Agency</w:t>
      </w:r>
      <w:r>
        <w:rPr>
          <w:rFonts w:ascii="Times New Roman" w:hAnsi="Times New Roman" w:cs="Times New Roman"/>
          <w:sz w:val="24"/>
          <w:szCs w:val="24"/>
        </w:rPr>
        <w:t xml:space="preserve"> is to be set up under the Ministry of Law to </w:t>
      </w:r>
      <w:r w:rsidR="00FC1644">
        <w:rPr>
          <w:rFonts w:ascii="Times New Roman" w:hAnsi="Times New Roman" w:cs="Times New Roman"/>
          <w:sz w:val="24"/>
          <w:szCs w:val="24"/>
        </w:rPr>
        <w:t>oversee the work of the Tribuna</w:t>
      </w:r>
      <w:r>
        <w:rPr>
          <w:rFonts w:ascii="Times New Roman" w:hAnsi="Times New Roman" w:cs="Times New Roman"/>
          <w:sz w:val="24"/>
          <w:szCs w:val="24"/>
        </w:rPr>
        <w:t>ls.</w:t>
      </w:r>
    </w:p>
    <w:p w:rsidR="002A2445" w:rsidRDefault="00FA0B30" w:rsidP="00FA0B30">
      <w:pPr>
        <w:rPr>
          <w:rFonts w:ascii="Times New Roman" w:hAnsi="Times New Roman" w:cs="Times New Roman"/>
          <w:b/>
          <w:sz w:val="24"/>
          <w:szCs w:val="24"/>
        </w:rPr>
      </w:pPr>
      <w:r w:rsidRPr="00321DA6">
        <w:rPr>
          <w:rFonts w:ascii="Times New Roman" w:hAnsi="Times New Roman" w:cs="Times New Roman"/>
          <w:b/>
          <w:sz w:val="24"/>
          <w:szCs w:val="24"/>
        </w:rPr>
        <w:t>Tribunals in Other Countries</w:t>
      </w:r>
    </w:p>
    <w:p w:rsidR="00321DA6" w:rsidRDefault="00321DA6" w:rsidP="00321DA6">
      <w:pPr>
        <w:jc w:val="both"/>
        <w:rPr>
          <w:rFonts w:ascii="Times New Roman" w:hAnsi="Times New Roman" w:cs="Times New Roman"/>
          <w:sz w:val="24"/>
          <w:szCs w:val="24"/>
        </w:rPr>
      </w:pPr>
      <w:r w:rsidRPr="00321DA6">
        <w:rPr>
          <w:rFonts w:ascii="Times New Roman" w:hAnsi="Times New Roman" w:cs="Times New Roman"/>
          <w:sz w:val="24"/>
          <w:szCs w:val="24"/>
        </w:rPr>
        <w:t xml:space="preserve">In </w:t>
      </w:r>
      <w:r>
        <w:rPr>
          <w:rFonts w:ascii="Times New Roman" w:hAnsi="Times New Roman" w:cs="Times New Roman"/>
          <w:sz w:val="24"/>
          <w:szCs w:val="24"/>
        </w:rPr>
        <w:t>many</w:t>
      </w:r>
      <w:r w:rsidRPr="00321DA6">
        <w:rPr>
          <w:rFonts w:ascii="Times New Roman" w:hAnsi="Times New Roman" w:cs="Times New Roman"/>
          <w:sz w:val="24"/>
          <w:szCs w:val="24"/>
        </w:rPr>
        <w:t xml:space="preserve"> countries, in addition to general courts, there is a separate system of administrative courts, where the general and administrative systems do not have jurisdiction over each other. </w:t>
      </w:r>
    </w:p>
    <w:p w:rsidR="00321DA6" w:rsidRPr="00321DA6" w:rsidRDefault="00321DA6" w:rsidP="00321DA6">
      <w:pPr>
        <w:jc w:val="both"/>
        <w:rPr>
          <w:rFonts w:ascii="Times New Roman" w:hAnsi="Times New Roman" w:cs="Times New Roman"/>
          <w:sz w:val="24"/>
          <w:szCs w:val="24"/>
        </w:rPr>
      </w:pPr>
      <w:r w:rsidRPr="00321DA6">
        <w:rPr>
          <w:rFonts w:ascii="Times New Roman" w:hAnsi="Times New Roman" w:cs="Times New Roman"/>
          <w:sz w:val="24"/>
          <w:szCs w:val="24"/>
        </w:rPr>
        <w:t>In Europe, The Administrative Tribunal of the Council of Europe (ATCE) is an international administrative court competent to adjudicate complaints of the serving and former staff of the Council of Europe against their employer. The jurisdiction of the Administrative Tribunal has also been recognized by other international organizations.</w:t>
      </w:r>
    </w:p>
    <w:p w:rsidR="00321DA6" w:rsidRDefault="00321DA6" w:rsidP="00321DA6">
      <w:pPr>
        <w:jc w:val="both"/>
        <w:rPr>
          <w:rFonts w:ascii="Times New Roman" w:hAnsi="Times New Roman" w:cs="Times New Roman"/>
          <w:sz w:val="24"/>
          <w:szCs w:val="24"/>
        </w:rPr>
      </w:pPr>
      <w:r w:rsidRPr="00321DA6">
        <w:rPr>
          <w:rFonts w:ascii="Times New Roman" w:hAnsi="Times New Roman" w:cs="Times New Roman"/>
          <w:sz w:val="24"/>
          <w:szCs w:val="24"/>
        </w:rPr>
        <w:t xml:space="preserve">The parallel system is found in countries like Egypt, Greece, Germany, France, Italy, Portugal, Taiwan and others. In France, Greece, Portugal and Sweden, the system has three levels as the general system, with local courts, appeals courts and a Supreme Administrative Court. </w:t>
      </w:r>
    </w:p>
    <w:p w:rsidR="00321DA6" w:rsidRDefault="00321DA6" w:rsidP="00321DA6">
      <w:pPr>
        <w:jc w:val="both"/>
        <w:rPr>
          <w:rFonts w:ascii="Times New Roman" w:hAnsi="Times New Roman" w:cs="Times New Roman"/>
          <w:sz w:val="24"/>
          <w:szCs w:val="24"/>
        </w:rPr>
      </w:pPr>
      <w:r w:rsidRPr="00321DA6">
        <w:rPr>
          <w:rFonts w:ascii="Times New Roman" w:hAnsi="Times New Roman" w:cs="Times New Roman"/>
          <w:sz w:val="24"/>
          <w:szCs w:val="24"/>
        </w:rPr>
        <w:t>In Finland, Italy, Poland and Taiwan, the system has two levels, where the court of first instance is a regional court. In Germany, the system is more complicated, and courts are more specialized.</w:t>
      </w:r>
    </w:p>
    <w:p w:rsidR="00321DA6" w:rsidRPr="00321DA6" w:rsidRDefault="00321DA6" w:rsidP="00321DA6">
      <w:pPr>
        <w:jc w:val="both"/>
        <w:rPr>
          <w:rFonts w:ascii="Times New Roman" w:hAnsi="Times New Roman" w:cs="Times New Roman"/>
          <w:sz w:val="24"/>
          <w:szCs w:val="24"/>
        </w:rPr>
      </w:pPr>
      <w:r w:rsidRPr="00321DA6">
        <w:rPr>
          <w:rFonts w:ascii="Times New Roman" w:hAnsi="Times New Roman" w:cs="Times New Roman"/>
          <w:sz w:val="24"/>
          <w:szCs w:val="24"/>
        </w:rPr>
        <w:lastRenderedPageBreak/>
        <w:t>In the </w:t>
      </w:r>
      <w:hyperlink r:id="rId29" w:tooltip="United States" w:history="1">
        <w:r w:rsidRPr="00321DA6">
          <w:rPr>
            <w:rStyle w:val="Hyperlink"/>
            <w:rFonts w:ascii="Times New Roman" w:hAnsi="Times New Roman" w:cs="Times New Roman"/>
            <w:color w:val="auto"/>
            <w:sz w:val="24"/>
            <w:szCs w:val="24"/>
            <w:u w:val="none"/>
          </w:rPr>
          <w:t>United States</w:t>
        </w:r>
      </w:hyperlink>
      <w:r>
        <w:rPr>
          <w:rFonts w:ascii="Times New Roman" w:hAnsi="Times New Roman" w:cs="Times New Roman"/>
          <w:sz w:val="24"/>
          <w:szCs w:val="24"/>
        </w:rPr>
        <w:t xml:space="preserve"> of America</w:t>
      </w:r>
      <w:r w:rsidRPr="00321DA6">
        <w:rPr>
          <w:rFonts w:ascii="Times New Roman" w:hAnsi="Times New Roman" w:cs="Times New Roman"/>
          <w:sz w:val="24"/>
          <w:szCs w:val="24"/>
        </w:rPr>
        <w:t>, administrative courts are </w:t>
      </w:r>
      <w:hyperlink r:id="rId30" w:tooltip="Tribunals" w:history="1">
        <w:r w:rsidRPr="00321DA6">
          <w:rPr>
            <w:rStyle w:val="Hyperlink"/>
            <w:rFonts w:ascii="Times New Roman" w:hAnsi="Times New Roman" w:cs="Times New Roman"/>
            <w:color w:val="auto"/>
            <w:sz w:val="24"/>
            <w:szCs w:val="24"/>
            <w:u w:val="none"/>
          </w:rPr>
          <w:t>tribunals</w:t>
        </w:r>
      </w:hyperlink>
      <w:r w:rsidRPr="00321DA6">
        <w:rPr>
          <w:rFonts w:ascii="Times New Roman" w:hAnsi="Times New Roman" w:cs="Times New Roman"/>
          <w:sz w:val="24"/>
          <w:szCs w:val="24"/>
        </w:rPr>
        <w:t> within administrative agencies, and are distinct from judicial courts. Decisions of administrative courts can be appealed to a judicial court.</w:t>
      </w:r>
    </w:p>
    <w:p w:rsidR="00321DA6" w:rsidRPr="00321DA6" w:rsidRDefault="00321DA6" w:rsidP="00321DA6">
      <w:pPr>
        <w:jc w:val="both"/>
        <w:rPr>
          <w:rFonts w:ascii="Times New Roman" w:hAnsi="Times New Roman" w:cs="Times New Roman"/>
          <w:sz w:val="24"/>
          <w:szCs w:val="24"/>
        </w:rPr>
      </w:pPr>
      <w:r w:rsidRPr="00321DA6">
        <w:rPr>
          <w:rFonts w:ascii="Times New Roman" w:hAnsi="Times New Roman" w:cs="Times New Roman"/>
          <w:sz w:val="24"/>
          <w:szCs w:val="24"/>
        </w:rPr>
        <w:t>Notably, in 1952, the </w:t>
      </w:r>
      <w:hyperlink r:id="rId31" w:tooltip="Communist" w:history="1">
        <w:r w:rsidRPr="00321DA6">
          <w:rPr>
            <w:rStyle w:val="Hyperlink"/>
            <w:rFonts w:ascii="Times New Roman" w:hAnsi="Times New Roman" w:cs="Times New Roman"/>
            <w:color w:val="auto"/>
            <w:sz w:val="24"/>
            <w:szCs w:val="24"/>
            <w:u w:val="none"/>
          </w:rPr>
          <w:t>Communist</w:t>
        </w:r>
      </w:hyperlink>
      <w:r w:rsidRPr="00321DA6">
        <w:rPr>
          <w:rFonts w:ascii="Times New Roman" w:hAnsi="Times New Roman" w:cs="Times New Roman"/>
          <w:sz w:val="24"/>
          <w:szCs w:val="24"/>
        </w:rPr>
        <w:t> </w:t>
      </w:r>
      <w:hyperlink r:id="rId32" w:tooltip="East Germany" w:history="1">
        <w:r w:rsidRPr="00321DA6">
          <w:rPr>
            <w:rStyle w:val="Hyperlink"/>
            <w:rFonts w:ascii="Times New Roman" w:hAnsi="Times New Roman" w:cs="Times New Roman"/>
            <w:color w:val="auto"/>
            <w:sz w:val="24"/>
            <w:szCs w:val="24"/>
            <w:u w:val="none"/>
          </w:rPr>
          <w:t>East German government</w:t>
        </w:r>
      </w:hyperlink>
      <w:r w:rsidRPr="00321DA6">
        <w:rPr>
          <w:rFonts w:ascii="Times New Roman" w:hAnsi="Times New Roman" w:cs="Times New Roman"/>
          <w:sz w:val="24"/>
          <w:szCs w:val="24"/>
        </w:rPr>
        <w:t> abolished the administrative courts as "bourgeois". In 1989, re-establishment of the system began in DDR, but the </w:t>
      </w:r>
      <w:hyperlink r:id="rId33" w:tooltip="German reunification" w:history="1">
        <w:r w:rsidRPr="00321DA6">
          <w:rPr>
            <w:rStyle w:val="Hyperlink"/>
            <w:rFonts w:ascii="Times New Roman" w:hAnsi="Times New Roman" w:cs="Times New Roman"/>
            <w:color w:val="auto"/>
            <w:sz w:val="24"/>
            <w:szCs w:val="24"/>
            <w:u w:val="none"/>
          </w:rPr>
          <w:t>German reunification</w:t>
        </w:r>
      </w:hyperlink>
      <w:r w:rsidRPr="00321DA6">
        <w:rPr>
          <w:rFonts w:ascii="Times New Roman" w:hAnsi="Times New Roman" w:cs="Times New Roman"/>
          <w:sz w:val="24"/>
          <w:szCs w:val="24"/>
        </w:rPr>
        <w:t> made this initiative obsolete.</w:t>
      </w:r>
    </w:p>
    <w:p w:rsidR="00125354" w:rsidRDefault="00FA0B30" w:rsidP="00FA0B30">
      <w:pPr>
        <w:spacing w:after="0" w:line="360" w:lineRule="auto"/>
        <w:contextualSpacing/>
        <w:rPr>
          <w:rFonts w:ascii="Times New Roman" w:eastAsia="Calibri" w:hAnsi="Times New Roman" w:cs="Times New Roman"/>
          <w:b/>
          <w:sz w:val="24"/>
          <w:szCs w:val="24"/>
          <w:lang w:val="en-IN"/>
        </w:rPr>
      </w:pPr>
      <w:r w:rsidRPr="00BB25A3">
        <w:rPr>
          <w:rFonts w:ascii="Times New Roman" w:eastAsia="Calibri" w:hAnsi="Times New Roman" w:cs="Times New Roman"/>
          <w:b/>
          <w:sz w:val="24"/>
          <w:szCs w:val="24"/>
          <w:lang w:val="en-IN"/>
        </w:rPr>
        <w:t>References</w:t>
      </w:r>
    </w:p>
    <w:p w:rsidR="00F922FD" w:rsidRDefault="00F922FD" w:rsidP="00261F03">
      <w:pPr>
        <w:pStyle w:val="ListParagraph"/>
        <w:numPr>
          <w:ilvl w:val="0"/>
          <w:numId w:val="5"/>
        </w:numPr>
        <w:rPr>
          <w:rFonts w:ascii="Times New Roman" w:eastAsia="Calibri" w:hAnsi="Times New Roman" w:cs="Times New Roman"/>
          <w:sz w:val="24"/>
          <w:lang w:val="en-IN"/>
        </w:rPr>
      </w:pPr>
      <w:r w:rsidRPr="00F922FD">
        <w:rPr>
          <w:rFonts w:ascii="Times New Roman" w:eastAsia="Calibri" w:hAnsi="Times New Roman" w:cs="Times New Roman"/>
          <w:sz w:val="24"/>
          <w:lang w:val="en-IN"/>
        </w:rPr>
        <w:t xml:space="preserve">K.K. Dutta v. </w:t>
      </w:r>
      <w:r w:rsidR="000A1C98">
        <w:rPr>
          <w:rFonts w:ascii="Times New Roman" w:eastAsia="Calibri" w:hAnsi="Times New Roman" w:cs="Times New Roman"/>
          <w:sz w:val="24"/>
          <w:lang w:val="en-IN"/>
        </w:rPr>
        <w:t xml:space="preserve">Union of </w:t>
      </w:r>
      <w:r w:rsidR="00204181">
        <w:rPr>
          <w:rFonts w:ascii="Times New Roman" w:eastAsia="Calibri" w:hAnsi="Times New Roman" w:cs="Times New Roman"/>
          <w:sz w:val="24"/>
          <w:lang w:val="en-IN"/>
        </w:rPr>
        <w:t>India</w:t>
      </w:r>
      <w:r w:rsidRPr="00F922FD">
        <w:rPr>
          <w:rFonts w:ascii="Times New Roman" w:eastAsia="Calibri" w:hAnsi="Times New Roman" w:cs="Times New Roman"/>
          <w:sz w:val="24"/>
          <w:lang w:val="en-IN"/>
        </w:rPr>
        <w:t xml:space="preserve"> AIR 1970 SC 150</w:t>
      </w:r>
    </w:p>
    <w:p w:rsidR="00125354" w:rsidRPr="00261F03" w:rsidRDefault="00125354" w:rsidP="00261F03">
      <w:pPr>
        <w:pStyle w:val="ListParagraph"/>
        <w:numPr>
          <w:ilvl w:val="0"/>
          <w:numId w:val="5"/>
        </w:numPr>
        <w:rPr>
          <w:rFonts w:ascii="Times New Roman" w:eastAsia="Calibri" w:hAnsi="Times New Roman" w:cs="Times New Roman"/>
          <w:sz w:val="24"/>
          <w:lang w:val="en-IN"/>
        </w:rPr>
      </w:pPr>
      <w:r w:rsidRPr="00261F03">
        <w:rPr>
          <w:rFonts w:ascii="Times New Roman" w:eastAsia="Calibri" w:hAnsi="Times New Roman" w:cs="Times New Roman"/>
          <w:sz w:val="24"/>
          <w:lang w:val="en-IN"/>
        </w:rPr>
        <w:t xml:space="preserve">L. Chandra Kumar v. </w:t>
      </w:r>
      <w:r w:rsidR="000A1C98">
        <w:rPr>
          <w:rFonts w:ascii="Times New Roman" w:eastAsia="Calibri" w:hAnsi="Times New Roman" w:cs="Times New Roman"/>
          <w:sz w:val="24"/>
          <w:lang w:val="en-IN"/>
        </w:rPr>
        <w:t xml:space="preserve">Union of </w:t>
      </w:r>
      <w:r w:rsidR="00204181">
        <w:rPr>
          <w:rFonts w:ascii="Times New Roman" w:eastAsia="Calibri" w:hAnsi="Times New Roman" w:cs="Times New Roman"/>
          <w:sz w:val="24"/>
          <w:lang w:val="en-IN"/>
        </w:rPr>
        <w:t>India</w:t>
      </w:r>
      <w:r w:rsidRPr="00261F03">
        <w:rPr>
          <w:rFonts w:ascii="Times New Roman" w:eastAsia="Calibri" w:hAnsi="Times New Roman" w:cs="Times New Roman"/>
          <w:sz w:val="24"/>
          <w:lang w:val="en-IN"/>
        </w:rPr>
        <w:t>AIR 1997 SC 1125</w:t>
      </w:r>
    </w:p>
    <w:p w:rsidR="00125354" w:rsidRPr="00261F03" w:rsidRDefault="00125354" w:rsidP="00261F03">
      <w:pPr>
        <w:pStyle w:val="ListParagraph"/>
        <w:numPr>
          <w:ilvl w:val="0"/>
          <w:numId w:val="5"/>
        </w:numPr>
        <w:rPr>
          <w:rFonts w:ascii="Times New Roman" w:eastAsia="Calibri" w:hAnsi="Times New Roman" w:cs="Times New Roman"/>
          <w:sz w:val="24"/>
          <w:lang w:val="en-IN"/>
        </w:rPr>
      </w:pPr>
      <w:r w:rsidRPr="00261F03">
        <w:rPr>
          <w:rFonts w:ascii="Times New Roman" w:eastAsia="Calibri" w:hAnsi="Times New Roman" w:cs="Times New Roman"/>
          <w:sz w:val="24"/>
          <w:lang w:val="en-IN"/>
        </w:rPr>
        <w:t xml:space="preserve">S.P. Sampath Kumar v. </w:t>
      </w:r>
      <w:r w:rsidR="000A1C98">
        <w:rPr>
          <w:rFonts w:ascii="Times New Roman" w:eastAsia="Calibri" w:hAnsi="Times New Roman" w:cs="Times New Roman"/>
          <w:sz w:val="24"/>
          <w:lang w:val="en-IN"/>
        </w:rPr>
        <w:t xml:space="preserve">Union of </w:t>
      </w:r>
      <w:r w:rsidR="00204181">
        <w:rPr>
          <w:rFonts w:ascii="Times New Roman" w:eastAsia="Calibri" w:hAnsi="Times New Roman" w:cs="Times New Roman"/>
          <w:sz w:val="24"/>
          <w:lang w:val="en-IN"/>
        </w:rPr>
        <w:t>India</w:t>
      </w:r>
      <w:r w:rsidRPr="00261F03">
        <w:rPr>
          <w:rFonts w:ascii="Times New Roman" w:eastAsia="Calibri" w:hAnsi="Times New Roman" w:cs="Times New Roman"/>
          <w:sz w:val="24"/>
          <w:lang w:val="en-IN"/>
        </w:rPr>
        <w:t>, 1987 ILLJ 128 SC</w:t>
      </w:r>
    </w:p>
    <w:p w:rsidR="00261F03" w:rsidRPr="00261F03" w:rsidRDefault="00261F03" w:rsidP="00261F03">
      <w:pPr>
        <w:pStyle w:val="ListParagraph"/>
        <w:numPr>
          <w:ilvl w:val="0"/>
          <w:numId w:val="5"/>
        </w:numPr>
        <w:rPr>
          <w:rFonts w:ascii="Times New Roman" w:hAnsi="Times New Roman" w:cs="Times New Roman"/>
          <w:sz w:val="24"/>
        </w:rPr>
      </w:pPr>
      <w:r w:rsidRPr="00261F03">
        <w:rPr>
          <w:rFonts w:ascii="Times New Roman" w:hAnsi="Times New Roman" w:cs="Times New Roman"/>
          <w:sz w:val="24"/>
        </w:rPr>
        <w:t xml:space="preserve">R.Ramar v. The Secretary </w:t>
      </w:r>
      <w:r w:rsidR="00DC2CE8" w:rsidRPr="00261F03">
        <w:rPr>
          <w:rFonts w:ascii="Times New Roman" w:hAnsi="Times New Roman" w:cs="Times New Roman"/>
          <w:sz w:val="24"/>
        </w:rPr>
        <w:t>toGovernment S.L.P.</w:t>
      </w:r>
      <w:r w:rsidRPr="00261F03">
        <w:rPr>
          <w:rFonts w:ascii="Times New Roman" w:hAnsi="Times New Roman" w:cs="Times New Roman"/>
          <w:sz w:val="24"/>
        </w:rPr>
        <w:t xml:space="preserve"> No. 17768 of 1991</w:t>
      </w:r>
    </w:p>
    <w:p w:rsidR="00261F03" w:rsidRPr="00261F03" w:rsidRDefault="00261F03" w:rsidP="00261F03">
      <w:pPr>
        <w:pStyle w:val="ListParagraph"/>
        <w:numPr>
          <w:ilvl w:val="0"/>
          <w:numId w:val="5"/>
        </w:numPr>
        <w:rPr>
          <w:rFonts w:ascii="Times New Roman" w:hAnsi="Times New Roman" w:cs="Times New Roman"/>
          <w:sz w:val="24"/>
        </w:rPr>
      </w:pPr>
      <w:r w:rsidRPr="00261F03">
        <w:rPr>
          <w:rFonts w:ascii="Times New Roman" w:hAnsi="Times New Roman" w:cs="Times New Roman"/>
          <w:sz w:val="24"/>
        </w:rPr>
        <w:t xml:space="preserve">J.B. Chopra and Ors v. </w:t>
      </w:r>
      <w:r w:rsidR="000A1C98">
        <w:rPr>
          <w:rFonts w:ascii="Times New Roman" w:hAnsi="Times New Roman" w:cs="Times New Roman"/>
          <w:sz w:val="24"/>
        </w:rPr>
        <w:t xml:space="preserve">Union of </w:t>
      </w:r>
      <w:r w:rsidR="00DC2CE8">
        <w:rPr>
          <w:rFonts w:ascii="Times New Roman" w:hAnsi="Times New Roman" w:cs="Times New Roman"/>
          <w:sz w:val="24"/>
        </w:rPr>
        <w:t>India</w:t>
      </w:r>
      <w:r w:rsidR="00DC2CE8" w:rsidRPr="00261F03">
        <w:rPr>
          <w:rFonts w:ascii="Times New Roman" w:hAnsi="Times New Roman" w:cs="Times New Roman"/>
          <w:sz w:val="24"/>
        </w:rPr>
        <w:t>,</w:t>
      </w:r>
      <w:r w:rsidRPr="00261F03">
        <w:rPr>
          <w:rFonts w:ascii="Times New Roman" w:hAnsi="Times New Roman" w:cs="Times New Roman"/>
          <w:sz w:val="24"/>
        </w:rPr>
        <w:t xml:space="preserve"> AIR 1987 SC 357</w:t>
      </w:r>
    </w:p>
    <w:p w:rsidR="00261F03" w:rsidRPr="00261F03" w:rsidRDefault="00261F03" w:rsidP="00261F03">
      <w:pPr>
        <w:pStyle w:val="ListParagraph"/>
        <w:numPr>
          <w:ilvl w:val="0"/>
          <w:numId w:val="5"/>
        </w:numPr>
        <w:rPr>
          <w:rFonts w:ascii="Times New Roman" w:eastAsia="Calibri" w:hAnsi="Times New Roman" w:cs="Times New Roman"/>
          <w:sz w:val="24"/>
          <w:lang w:val="en-IN"/>
        </w:rPr>
      </w:pPr>
      <w:r w:rsidRPr="00261F03">
        <w:rPr>
          <w:rFonts w:ascii="Times New Roman" w:eastAsia="Calibri" w:hAnsi="Times New Roman" w:cs="Times New Roman"/>
          <w:sz w:val="24"/>
          <w:lang w:val="en-IN"/>
        </w:rPr>
        <w:t>Kesavananda Bharati Sripadagalvaru and Ors. v. State of Kerala and Anr. (1973) 4 SCC 225</w:t>
      </w:r>
    </w:p>
    <w:p w:rsidR="00261F03" w:rsidRPr="00261F03" w:rsidRDefault="00261F03" w:rsidP="00261F03">
      <w:pPr>
        <w:pStyle w:val="ListParagraph"/>
        <w:numPr>
          <w:ilvl w:val="0"/>
          <w:numId w:val="5"/>
        </w:numPr>
        <w:rPr>
          <w:rFonts w:ascii="Times New Roman" w:eastAsia="Calibri" w:hAnsi="Times New Roman" w:cs="Times New Roman"/>
          <w:sz w:val="24"/>
          <w:lang w:val="en-IN"/>
        </w:rPr>
      </w:pPr>
      <w:r w:rsidRPr="00261F03">
        <w:rPr>
          <w:rFonts w:ascii="Times New Roman" w:eastAsia="Calibri" w:hAnsi="Times New Roman" w:cs="Times New Roman"/>
          <w:sz w:val="24"/>
          <w:lang w:val="en-IN"/>
        </w:rPr>
        <w:t>Fertili</w:t>
      </w:r>
      <w:r w:rsidR="00E14E3C">
        <w:rPr>
          <w:rFonts w:ascii="Times New Roman" w:eastAsia="Calibri" w:hAnsi="Times New Roman" w:cs="Times New Roman"/>
          <w:sz w:val="24"/>
          <w:lang w:val="en-IN"/>
        </w:rPr>
        <w:t>z</w:t>
      </w:r>
      <w:r w:rsidRPr="00261F03">
        <w:rPr>
          <w:rFonts w:ascii="Times New Roman" w:eastAsia="Calibri" w:hAnsi="Times New Roman" w:cs="Times New Roman"/>
          <w:sz w:val="24"/>
          <w:lang w:val="en-IN"/>
        </w:rPr>
        <w:t xml:space="preserve">er Corporation Kamgar Union v. </w:t>
      </w:r>
      <w:r w:rsidR="000A1C98">
        <w:rPr>
          <w:rFonts w:ascii="Times New Roman" w:eastAsia="Calibri" w:hAnsi="Times New Roman" w:cs="Times New Roman"/>
          <w:sz w:val="24"/>
          <w:lang w:val="en-IN"/>
        </w:rPr>
        <w:t xml:space="preserve">Union of </w:t>
      </w:r>
      <w:r w:rsidR="00204181">
        <w:rPr>
          <w:rFonts w:ascii="Times New Roman" w:eastAsia="Calibri" w:hAnsi="Times New Roman" w:cs="Times New Roman"/>
          <w:sz w:val="24"/>
          <w:lang w:val="en-IN"/>
        </w:rPr>
        <w:t>India</w:t>
      </w:r>
      <w:r w:rsidRPr="00261F03">
        <w:rPr>
          <w:rFonts w:ascii="Times New Roman" w:eastAsia="Calibri" w:hAnsi="Times New Roman" w:cs="Times New Roman"/>
          <w:sz w:val="24"/>
          <w:lang w:val="en-IN"/>
        </w:rPr>
        <w:t xml:space="preserve"> (1981) ILLJ 193 SC</w:t>
      </w:r>
    </w:p>
    <w:p w:rsidR="00261F03" w:rsidRDefault="00261F03" w:rsidP="00261F03">
      <w:pPr>
        <w:pStyle w:val="ListParagraph"/>
        <w:numPr>
          <w:ilvl w:val="0"/>
          <w:numId w:val="5"/>
        </w:numPr>
        <w:rPr>
          <w:rFonts w:ascii="Times New Roman" w:eastAsia="Calibri" w:hAnsi="Times New Roman" w:cs="Times New Roman"/>
          <w:sz w:val="24"/>
          <w:lang w:val="en-IN"/>
        </w:rPr>
      </w:pPr>
      <w:r w:rsidRPr="00261F03">
        <w:rPr>
          <w:rFonts w:ascii="Times New Roman" w:eastAsia="Calibri" w:hAnsi="Times New Roman" w:cs="Times New Roman"/>
          <w:sz w:val="24"/>
          <w:lang w:val="en-IN"/>
        </w:rPr>
        <w:t xml:space="preserve">Delhi Judicial Service Association v. State of </w:t>
      </w:r>
      <w:r w:rsidR="00DC2CE8" w:rsidRPr="00261F03">
        <w:rPr>
          <w:rFonts w:ascii="Times New Roman" w:eastAsia="Calibri" w:hAnsi="Times New Roman" w:cs="Times New Roman"/>
          <w:sz w:val="24"/>
          <w:lang w:val="en-IN"/>
        </w:rPr>
        <w:t>Gujarat AIR</w:t>
      </w:r>
      <w:r w:rsidRPr="00261F03">
        <w:rPr>
          <w:rFonts w:ascii="Times New Roman" w:eastAsia="Calibri" w:hAnsi="Times New Roman" w:cs="Times New Roman"/>
          <w:sz w:val="24"/>
          <w:lang w:val="en-IN"/>
        </w:rPr>
        <w:t xml:space="preserve"> 1991 SC 2150</w:t>
      </w:r>
    </w:p>
    <w:p w:rsidR="0073390B" w:rsidRDefault="002E4246" w:rsidP="0073390B">
      <w:pPr>
        <w:pStyle w:val="ListParagraph"/>
        <w:numPr>
          <w:ilvl w:val="0"/>
          <w:numId w:val="5"/>
        </w:numPr>
        <w:rPr>
          <w:rFonts w:ascii="Times New Roman" w:eastAsia="Calibri" w:hAnsi="Times New Roman" w:cs="Times New Roman"/>
          <w:sz w:val="24"/>
          <w:lang w:val="en-IN"/>
        </w:rPr>
      </w:pPr>
      <w:r w:rsidRPr="002E4246">
        <w:rPr>
          <w:rFonts w:ascii="Times New Roman" w:eastAsia="Calibri" w:hAnsi="Times New Roman" w:cs="Times New Roman"/>
          <w:sz w:val="24"/>
          <w:lang w:val="en-IN"/>
        </w:rPr>
        <w:t>Minerva Mills v.</w:t>
      </w:r>
      <w:r w:rsidR="000A1C98">
        <w:rPr>
          <w:rFonts w:ascii="Times New Roman" w:eastAsia="Calibri" w:hAnsi="Times New Roman" w:cs="Times New Roman"/>
          <w:sz w:val="24"/>
          <w:lang w:val="en-IN"/>
        </w:rPr>
        <w:t xml:space="preserve"> Union of </w:t>
      </w:r>
      <w:r w:rsidR="00204181">
        <w:rPr>
          <w:rFonts w:ascii="Times New Roman" w:eastAsia="Calibri" w:hAnsi="Times New Roman" w:cs="Times New Roman"/>
          <w:sz w:val="24"/>
          <w:lang w:val="en-IN"/>
        </w:rPr>
        <w:t>India</w:t>
      </w:r>
      <w:r w:rsidRPr="002E4246">
        <w:rPr>
          <w:rFonts w:ascii="Times New Roman" w:eastAsia="Calibri" w:hAnsi="Times New Roman" w:cs="Times New Roman"/>
          <w:sz w:val="24"/>
          <w:lang w:val="en-IN"/>
        </w:rPr>
        <w:t xml:space="preserve"> AIR 1986 SC 2030</w:t>
      </w:r>
    </w:p>
    <w:p w:rsidR="0073390B" w:rsidRDefault="000A1C98" w:rsidP="0073390B">
      <w:pPr>
        <w:pStyle w:val="ListParagraph"/>
        <w:numPr>
          <w:ilvl w:val="0"/>
          <w:numId w:val="5"/>
        </w:numPr>
        <w:rPr>
          <w:rFonts w:ascii="Times New Roman" w:eastAsia="Calibri" w:hAnsi="Times New Roman" w:cs="Times New Roman"/>
          <w:sz w:val="24"/>
          <w:lang w:val="en-IN"/>
        </w:rPr>
      </w:pPr>
      <w:r>
        <w:rPr>
          <w:rFonts w:ascii="Times New Roman" w:eastAsia="Calibri" w:hAnsi="Times New Roman" w:cs="Times New Roman"/>
          <w:sz w:val="24"/>
          <w:lang w:val="en-IN"/>
        </w:rPr>
        <w:t>UNION OF INDIA</w:t>
      </w:r>
      <w:r w:rsidR="0073390B" w:rsidRPr="0073390B">
        <w:rPr>
          <w:rFonts w:ascii="Times New Roman" w:eastAsia="Calibri" w:hAnsi="Times New Roman" w:cs="Times New Roman"/>
          <w:sz w:val="24"/>
          <w:lang w:val="en-IN"/>
        </w:rPr>
        <w:t xml:space="preserve"> v. Parmanand AIR 1989 SC 1185</w:t>
      </w:r>
    </w:p>
    <w:p w:rsidR="000A1C98" w:rsidRDefault="008A59C7" w:rsidP="000A1C98">
      <w:pPr>
        <w:pStyle w:val="ListParagraph"/>
        <w:numPr>
          <w:ilvl w:val="0"/>
          <w:numId w:val="5"/>
        </w:numPr>
        <w:rPr>
          <w:rFonts w:ascii="Times New Roman" w:eastAsia="Calibri" w:hAnsi="Times New Roman" w:cs="Times New Roman"/>
          <w:sz w:val="24"/>
          <w:lang w:val="en-IN"/>
        </w:rPr>
      </w:pPr>
      <w:r w:rsidRPr="008A59C7">
        <w:rPr>
          <w:rFonts w:ascii="Times New Roman" w:eastAsia="Calibri" w:hAnsi="Times New Roman" w:cs="Times New Roman"/>
          <w:sz w:val="24"/>
          <w:lang w:val="en-IN"/>
        </w:rPr>
        <w:t xml:space="preserve">Amulya Chandra Kalita v. </w:t>
      </w:r>
      <w:r w:rsidR="000A1C98">
        <w:rPr>
          <w:rFonts w:ascii="Times New Roman" w:eastAsia="Calibri" w:hAnsi="Times New Roman" w:cs="Times New Roman"/>
          <w:sz w:val="24"/>
          <w:lang w:val="en-IN"/>
        </w:rPr>
        <w:t xml:space="preserve">Union of </w:t>
      </w:r>
      <w:r w:rsidR="00204181">
        <w:rPr>
          <w:rFonts w:ascii="Times New Roman" w:eastAsia="Calibri" w:hAnsi="Times New Roman" w:cs="Times New Roman"/>
          <w:sz w:val="24"/>
          <w:lang w:val="en-IN"/>
        </w:rPr>
        <w:t>India</w:t>
      </w:r>
      <w:r w:rsidRPr="008A59C7">
        <w:rPr>
          <w:rFonts w:ascii="Times New Roman" w:eastAsia="Calibri" w:hAnsi="Times New Roman" w:cs="Times New Roman"/>
          <w:sz w:val="24"/>
          <w:lang w:val="en-IN"/>
        </w:rPr>
        <w:t xml:space="preserve"> and Ors. (1990) ILLJ 523 SC</w:t>
      </w:r>
    </w:p>
    <w:p w:rsidR="000A1C98" w:rsidRPr="00204181" w:rsidRDefault="000A1C98" w:rsidP="000A1C98">
      <w:pPr>
        <w:pStyle w:val="ListParagraph"/>
        <w:numPr>
          <w:ilvl w:val="0"/>
          <w:numId w:val="5"/>
        </w:numPr>
        <w:rPr>
          <w:rFonts w:ascii="Times New Roman" w:eastAsia="Calibri" w:hAnsi="Times New Roman" w:cs="Times New Roman"/>
          <w:sz w:val="24"/>
          <w:szCs w:val="24"/>
          <w:lang w:val="en-IN"/>
        </w:rPr>
      </w:pPr>
      <w:r w:rsidRPr="000A1C98">
        <w:rPr>
          <w:rFonts w:ascii="Times New Roman" w:hAnsi="Times New Roman" w:cs="Times New Roman"/>
          <w:bCs/>
          <w:sz w:val="24"/>
          <w:szCs w:val="24"/>
        </w:rPr>
        <w:t>Dr. Mahabal Ram v. Indian Council Of Agriculture Research 1994 SCC (2) 401</w:t>
      </w:r>
    </w:p>
    <w:p w:rsidR="00204181" w:rsidRPr="000A1C98" w:rsidRDefault="00204181" w:rsidP="000A1C98">
      <w:pPr>
        <w:pStyle w:val="ListParagraph"/>
        <w:numPr>
          <w:ilvl w:val="0"/>
          <w:numId w:val="5"/>
        </w:numPr>
        <w:rPr>
          <w:rFonts w:ascii="Times New Roman" w:eastAsia="Calibri" w:hAnsi="Times New Roman" w:cs="Times New Roman"/>
          <w:sz w:val="24"/>
          <w:szCs w:val="24"/>
          <w:lang w:val="en-IN"/>
        </w:rPr>
      </w:pPr>
      <w:r w:rsidRPr="00204181">
        <w:rPr>
          <w:rFonts w:ascii="Times New Roman" w:eastAsia="Calibri" w:hAnsi="Times New Roman" w:cs="Times New Roman"/>
          <w:sz w:val="24"/>
          <w:szCs w:val="24"/>
          <w:lang w:val="en-IN"/>
        </w:rPr>
        <w:t>SakinalaHarinath and Ors. v. State of Andra Pradesh 1992 (1) APLJ 168</w:t>
      </w:r>
    </w:p>
    <w:p w:rsidR="00FA0B30" w:rsidRDefault="00FA0B30" w:rsidP="00FA0B30">
      <w:pPr>
        <w:spacing w:after="0" w:line="360" w:lineRule="auto"/>
        <w:rPr>
          <w:rFonts w:ascii="Times New Roman" w:eastAsia="Calibri" w:hAnsi="Times New Roman" w:cs="Times New Roman"/>
          <w:b/>
          <w:sz w:val="24"/>
          <w:szCs w:val="24"/>
          <w:lang w:val="en-IN"/>
        </w:rPr>
      </w:pPr>
    </w:p>
    <w:p w:rsidR="00BB25A3" w:rsidRPr="00BB25A3" w:rsidRDefault="00FA0B30" w:rsidP="00FA0B30">
      <w:pPr>
        <w:spacing w:after="0" w:line="360" w:lineRule="auto"/>
        <w:rPr>
          <w:rFonts w:ascii="Times New Roman" w:eastAsia="Calibri" w:hAnsi="Times New Roman" w:cs="Times New Roman"/>
          <w:b/>
          <w:sz w:val="24"/>
          <w:szCs w:val="24"/>
          <w:lang w:val="en-IN"/>
        </w:rPr>
      </w:pPr>
      <w:r w:rsidRPr="00BB25A3">
        <w:rPr>
          <w:rFonts w:ascii="Times New Roman" w:eastAsia="Calibri" w:hAnsi="Times New Roman" w:cs="Times New Roman"/>
          <w:b/>
          <w:sz w:val="24"/>
          <w:szCs w:val="24"/>
          <w:lang w:val="en-IN"/>
        </w:rPr>
        <w:t xml:space="preserve">Brief </w:t>
      </w:r>
      <w:r>
        <w:rPr>
          <w:rFonts w:ascii="Times New Roman" w:eastAsia="Calibri" w:hAnsi="Times New Roman" w:cs="Times New Roman"/>
          <w:b/>
          <w:sz w:val="24"/>
          <w:szCs w:val="24"/>
          <w:lang w:val="en-IN"/>
        </w:rPr>
        <w:t>a</w:t>
      </w:r>
      <w:r w:rsidRPr="00BB25A3">
        <w:rPr>
          <w:rFonts w:ascii="Times New Roman" w:eastAsia="Calibri" w:hAnsi="Times New Roman" w:cs="Times New Roman"/>
          <w:b/>
          <w:sz w:val="24"/>
          <w:szCs w:val="24"/>
          <w:lang w:val="en-IN"/>
        </w:rPr>
        <w:t>bout Author</w:t>
      </w:r>
    </w:p>
    <w:p w:rsidR="00BB25A3" w:rsidRPr="00BB25A3" w:rsidRDefault="00BB25A3" w:rsidP="00BB25A3">
      <w:pPr>
        <w:tabs>
          <w:tab w:val="left" w:pos="3930"/>
        </w:tabs>
        <w:spacing w:after="0" w:line="360" w:lineRule="auto"/>
        <w:jc w:val="both"/>
        <w:rPr>
          <w:rFonts w:ascii="Times New Roman" w:eastAsia="Calibri" w:hAnsi="Times New Roman" w:cs="Times New Roman"/>
          <w:sz w:val="24"/>
          <w:szCs w:val="24"/>
          <w:lang w:val="en-IN"/>
        </w:rPr>
      </w:pPr>
      <w:r w:rsidRPr="00BB25A3">
        <w:rPr>
          <w:rFonts w:ascii="Times New Roman" w:eastAsia="Calibri" w:hAnsi="Times New Roman" w:cs="Times New Roman"/>
          <w:sz w:val="24"/>
          <w:szCs w:val="24"/>
          <w:lang w:val="en-IN"/>
        </w:rPr>
        <w:t>A</w:t>
      </w:r>
      <w:r w:rsidR="00125354">
        <w:rPr>
          <w:rFonts w:ascii="Times New Roman" w:eastAsia="Calibri" w:hAnsi="Times New Roman" w:cs="Times New Roman"/>
          <w:sz w:val="24"/>
          <w:szCs w:val="24"/>
          <w:lang w:val="en-IN"/>
        </w:rPr>
        <w:t>nwesha Patra</w:t>
      </w:r>
      <w:r w:rsidRPr="00BB25A3">
        <w:rPr>
          <w:rFonts w:ascii="Times New Roman" w:eastAsia="Calibri" w:hAnsi="Times New Roman" w:cs="Times New Roman"/>
          <w:sz w:val="24"/>
          <w:szCs w:val="24"/>
          <w:lang w:val="en-IN"/>
        </w:rPr>
        <w:t xml:space="preserve"> is pursuing B.</w:t>
      </w:r>
      <w:r w:rsidR="00125354">
        <w:rPr>
          <w:rFonts w:ascii="Times New Roman" w:eastAsia="Calibri" w:hAnsi="Times New Roman" w:cs="Times New Roman"/>
          <w:sz w:val="24"/>
          <w:szCs w:val="24"/>
          <w:lang w:val="en-IN"/>
        </w:rPr>
        <w:t>B.</w:t>
      </w:r>
      <w:r w:rsidRPr="00BB25A3">
        <w:rPr>
          <w:rFonts w:ascii="Times New Roman" w:eastAsia="Calibri" w:hAnsi="Times New Roman" w:cs="Times New Roman"/>
          <w:sz w:val="24"/>
          <w:szCs w:val="24"/>
          <w:lang w:val="en-IN"/>
        </w:rPr>
        <w:t>A.LLB (Hons</w:t>
      </w:r>
      <w:r w:rsidR="000A1C98">
        <w:rPr>
          <w:rFonts w:ascii="Times New Roman" w:eastAsia="Calibri" w:hAnsi="Times New Roman" w:cs="Times New Roman"/>
          <w:sz w:val="24"/>
          <w:szCs w:val="24"/>
          <w:lang w:val="en-IN"/>
        </w:rPr>
        <w:t>.</w:t>
      </w:r>
      <w:r w:rsidRPr="00BB25A3">
        <w:rPr>
          <w:rFonts w:ascii="Times New Roman" w:eastAsia="Calibri" w:hAnsi="Times New Roman" w:cs="Times New Roman"/>
          <w:sz w:val="24"/>
          <w:szCs w:val="24"/>
          <w:lang w:val="en-IN"/>
        </w:rPr>
        <w:t xml:space="preserve">) from </w:t>
      </w:r>
      <w:r w:rsidR="00125354">
        <w:rPr>
          <w:rFonts w:ascii="Times New Roman" w:eastAsia="Calibri" w:hAnsi="Times New Roman" w:cs="Times New Roman"/>
          <w:sz w:val="24"/>
          <w:szCs w:val="24"/>
          <w:lang w:val="en-IN"/>
        </w:rPr>
        <w:t>SOA National Institute of Law</w:t>
      </w:r>
      <w:r w:rsidR="00F922FD">
        <w:rPr>
          <w:rFonts w:ascii="Times New Roman" w:eastAsia="Calibri" w:hAnsi="Times New Roman" w:cs="Times New Roman"/>
          <w:sz w:val="24"/>
          <w:szCs w:val="24"/>
          <w:lang w:val="en-IN"/>
        </w:rPr>
        <w:t>, Bhubaneswar</w:t>
      </w:r>
      <w:r w:rsidRPr="00BB25A3">
        <w:rPr>
          <w:rFonts w:ascii="Times New Roman" w:eastAsia="Calibri" w:hAnsi="Times New Roman" w:cs="Times New Roman"/>
          <w:sz w:val="24"/>
          <w:szCs w:val="24"/>
          <w:lang w:val="en-IN"/>
        </w:rPr>
        <w:t xml:space="preserve">. </w:t>
      </w:r>
      <w:r w:rsidR="00125354">
        <w:rPr>
          <w:rFonts w:ascii="Times New Roman" w:eastAsia="Calibri" w:hAnsi="Times New Roman" w:cs="Times New Roman"/>
          <w:sz w:val="24"/>
          <w:szCs w:val="24"/>
          <w:lang w:val="en-IN"/>
        </w:rPr>
        <w:t>Sh</w:t>
      </w:r>
      <w:r w:rsidRPr="00BB25A3">
        <w:rPr>
          <w:rFonts w:ascii="Times New Roman" w:eastAsia="Calibri" w:hAnsi="Times New Roman" w:cs="Times New Roman"/>
          <w:sz w:val="24"/>
          <w:szCs w:val="24"/>
          <w:lang w:val="en-IN"/>
        </w:rPr>
        <w:t xml:space="preserve">e is currently </w:t>
      </w:r>
      <w:r w:rsidR="00125354">
        <w:rPr>
          <w:rFonts w:ascii="Times New Roman" w:eastAsia="Calibri" w:hAnsi="Times New Roman" w:cs="Times New Roman"/>
          <w:sz w:val="24"/>
          <w:szCs w:val="24"/>
          <w:lang w:val="en-IN"/>
        </w:rPr>
        <w:t>an intern</w:t>
      </w:r>
      <w:r w:rsidR="00591478">
        <w:rPr>
          <w:rFonts w:ascii="Times New Roman" w:eastAsia="Calibri" w:hAnsi="Times New Roman" w:cs="Times New Roman"/>
          <w:sz w:val="24"/>
          <w:szCs w:val="24"/>
          <w:lang w:val="en-IN"/>
        </w:rPr>
        <w:t xml:space="preserve"> in ProBono India.</w:t>
      </w:r>
      <w:r w:rsidR="0097514D">
        <w:rPr>
          <w:rFonts w:ascii="Times New Roman" w:eastAsia="Calibri" w:hAnsi="Times New Roman" w:cs="Times New Roman"/>
          <w:sz w:val="24"/>
          <w:szCs w:val="24"/>
          <w:lang w:val="en-IN"/>
        </w:rPr>
        <w:t>Sh</w:t>
      </w:r>
      <w:r w:rsidRPr="00BB25A3">
        <w:rPr>
          <w:rFonts w:ascii="Times New Roman" w:eastAsia="Calibri" w:hAnsi="Times New Roman" w:cs="Times New Roman"/>
          <w:sz w:val="24"/>
          <w:szCs w:val="24"/>
          <w:lang w:val="en-IN"/>
        </w:rPr>
        <w:t xml:space="preserve">e has interests in </w:t>
      </w:r>
      <w:r w:rsidR="00125354">
        <w:rPr>
          <w:rFonts w:ascii="Times New Roman" w:eastAsia="Calibri" w:hAnsi="Times New Roman" w:cs="Times New Roman"/>
          <w:sz w:val="24"/>
          <w:szCs w:val="24"/>
          <w:lang w:val="en-IN"/>
        </w:rPr>
        <w:t>Penal</w:t>
      </w:r>
      <w:r w:rsidRPr="00BB25A3">
        <w:rPr>
          <w:rFonts w:ascii="Times New Roman" w:eastAsia="Calibri" w:hAnsi="Times New Roman" w:cs="Times New Roman"/>
          <w:sz w:val="24"/>
          <w:szCs w:val="24"/>
          <w:lang w:val="en-IN"/>
        </w:rPr>
        <w:t xml:space="preserve"> Law, </w:t>
      </w:r>
      <w:r w:rsidR="00125354">
        <w:rPr>
          <w:rFonts w:ascii="Times New Roman" w:eastAsia="Calibri" w:hAnsi="Times New Roman" w:cs="Times New Roman"/>
          <w:sz w:val="24"/>
          <w:szCs w:val="24"/>
          <w:lang w:val="en-IN"/>
        </w:rPr>
        <w:t>Consumer</w:t>
      </w:r>
      <w:r w:rsidRPr="00BB25A3">
        <w:rPr>
          <w:rFonts w:ascii="Times New Roman" w:eastAsia="Calibri" w:hAnsi="Times New Roman" w:cs="Times New Roman"/>
          <w:sz w:val="24"/>
          <w:szCs w:val="24"/>
          <w:lang w:val="en-IN"/>
        </w:rPr>
        <w:t xml:space="preserve"> Law and Corporate Law. By being part of Team ProBono, </w:t>
      </w:r>
      <w:r w:rsidR="0097514D">
        <w:rPr>
          <w:rFonts w:ascii="Times New Roman" w:eastAsia="Calibri" w:hAnsi="Times New Roman" w:cs="Times New Roman"/>
          <w:sz w:val="24"/>
          <w:szCs w:val="24"/>
          <w:lang w:val="en-IN"/>
        </w:rPr>
        <w:t>s</w:t>
      </w:r>
      <w:r w:rsidRPr="00BB25A3">
        <w:rPr>
          <w:rFonts w:ascii="Times New Roman" w:eastAsia="Calibri" w:hAnsi="Times New Roman" w:cs="Times New Roman"/>
          <w:sz w:val="24"/>
          <w:szCs w:val="24"/>
          <w:lang w:val="en-IN"/>
        </w:rPr>
        <w:t>he is contributing to society through legal aid.</w:t>
      </w:r>
    </w:p>
    <w:p w:rsidR="00BB25A3" w:rsidRPr="00BB25A3" w:rsidRDefault="00BB25A3" w:rsidP="00BB25A3">
      <w:pPr>
        <w:jc w:val="both"/>
        <w:rPr>
          <w:rFonts w:ascii="Times New Roman" w:hAnsi="Times New Roman" w:cs="Times New Roman"/>
          <w:sz w:val="24"/>
          <w:szCs w:val="24"/>
        </w:rPr>
      </w:pPr>
    </w:p>
    <w:p w:rsidR="009C73D0" w:rsidRPr="001C7A8B" w:rsidRDefault="009C73D0" w:rsidP="001C7A8B">
      <w:pPr>
        <w:jc w:val="both"/>
        <w:rPr>
          <w:rFonts w:ascii="Times New Roman" w:hAnsi="Times New Roman" w:cs="Times New Roman"/>
        </w:rPr>
      </w:pPr>
    </w:p>
    <w:sectPr w:rsidR="009C73D0" w:rsidRPr="001C7A8B" w:rsidSect="009C73D0">
      <w:footerReference w:type="default" r:id="rId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77" w:rsidRDefault="00CB7477" w:rsidP="001C7A8B">
      <w:pPr>
        <w:spacing w:after="0" w:line="240" w:lineRule="auto"/>
      </w:pPr>
      <w:r>
        <w:separator/>
      </w:r>
    </w:p>
  </w:endnote>
  <w:endnote w:type="continuationSeparator" w:id="1">
    <w:p w:rsidR="00CB7477" w:rsidRDefault="00CB7477" w:rsidP="001C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77"/>
      <w:docPartObj>
        <w:docPartGallery w:val="Page Numbers (Bottom of Page)"/>
        <w:docPartUnique/>
      </w:docPartObj>
    </w:sdtPr>
    <w:sdtContent>
      <w:sdt>
        <w:sdtPr>
          <w:id w:val="565050477"/>
          <w:docPartObj>
            <w:docPartGallery w:val="Page Numbers (Top of Page)"/>
            <w:docPartUnique/>
          </w:docPartObj>
        </w:sdtPr>
        <w:sdtContent>
          <w:p w:rsidR="00D776FD" w:rsidRDefault="00D776FD">
            <w:pPr>
              <w:pStyle w:val="Footer"/>
              <w:jc w:val="center"/>
            </w:pPr>
            <w:r>
              <w:t xml:space="preserve">Page </w:t>
            </w:r>
            <w:r w:rsidR="00F72783">
              <w:rPr>
                <w:b/>
                <w:sz w:val="24"/>
                <w:szCs w:val="24"/>
              </w:rPr>
              <w:fldChar w:fldCharType="begin"/>
            </w:r>
            <w:r>
              <w:rPr>
                <w:b/>
              </w:rPr>
              <w:instrText xml:space="preserve"> PAGE </w:instrText>
            </w:r>
            <w:r w:rsidR="00F72783">
              <w:rPr>
                <w:b/>
                <w:sz w:val="24"/>
                <w:szCs w:val="24"/>
              </w:rPr>
              <w:fldChar w:fldCharType="separate"/>
            </w:r>
            <w:r w:rsidR="00DC594B">
              <w:rPr>
                <w:b/>
                <w:noProof/>
              </w:rPr>
              <w:t>1</w:t>
            </w:r>
            <w:r w:rsidR="00F72783">
              <w:rPr>
                <w:b/>
                <w:sz w:val="24"/>
                <w:szCs w:val="24"/>
              </w:rPr>
              <w:fldChar w:fldCharType="end"/>
            </w:r>
            <w:r>
              <w:t xml:space="preserve"> of </w:t>
            </w:r>
            <w:r w:rsidR="00F72783">
              <w:rPr>
                <w:b/>
                <w:sz w:val="24"/>
                <w:szCs w:val="24"/>
              </w:rPr>
              <w:fldChar w:fldCharType="begin"/>
            </w:r>
            <w:r>
              <w:rPr>
                <w:b/>
              </w:rPr>
              <w:instrText xml:space="preserve"> NUMPAGES  </w:instrText>
            </w:r>
            <w:r w:rsidR="00F72783">
              <w:rPr>
                <w:b/>
                <w:sz w:val="24"/>
                <w:szCs w:val="24"/>
              </w:rPr>
              <w:fldChar w:fldCharType="separate"/>
            </w:r>
            <w:r w:rsidR="00DC594B">
              <w:rPr>
                <w:b/>
                <w:noProof/>
              </w:rPr>
              <w:t>11</w:t>
            </w:r>
            <w:r w:rsidR="00F72783">
              <w:rPr>
                <w:b/>
                <w:sz w:val="24"/>
                <w:szCs w:val="24"/>
              </w:rPr>
              <w:fldChar w:fldCharType="end"/>
            </w:r>
          </w:p>
        </w:sdtContent>
      </w:sdt>
    </w:sdtContent>
  </w:sdt>
  <w:p w:rsidR="00D776FD" w:rsidRDefault="00D77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77" w:rsidRDefault="00CB7477" w:rsidP="001C7A8B">
      <w:pPr>
        <w:spacing w:after="0" w:line="240" w:lineRule="auto"/>
      </w:pPr>
      <w:r>
        <w:separator/>
      </w:r>
    </w:p>
  </w:footnote>
  <w:footnote w:type="continuationSeparator" w:id="1">
    <w:p w:rsidR="00CB7477" w:rsidRDefault="00CB7477" w:rsidP="001C7A8B">
      <w:pPr>
        <w:spacing w:after="0" w:line="240" w:lineRule="auto"/>
      </w:pPr>
      <w:r>
        <w:continuationSeparator/>
      </w:r>
    </w:p>
  </w:footnote>
  <w:footnote w:id="2">
    <w:p w:rsidR="00D776FD" w:rsidRDefault="00D776FD">
      <w:pPr>
        <w:pStyle w:val="FootnoteText"/>
      </w:pPr>
      <w:r>
        <w:rPr>
          <w:rStyle w:val="FootnoteReference"/>
        </w:rPr>
        <w:footnoteRef/>
      </w:r>
      <w:r w:rsidRPr="00F922FD">
        <w:t xml:space="preserve">K.K. Dutta v. </w:t>
      </w:r>
      <w:r>
        <w:t>UOI</w:t>
      </w:r>
      <w:r w:rsidRPr="00F922FD">
        <w:t xml:space="preserve"> AIR 1970 SC 150</w:t>
      </w:r>
    </w:p>
  </w:footnote>
  <w:footnote w:id="3">
    <w:p w:rsidR="00D776FD" w:rsidRDefault="00D776FD">
      <w:pPr>
        <w:pStyle w:val="FootnoteText"/>
      </w:pPr>
      <w:r>
        <w:rPr>
          <w:rStyle w:val="FootnoteReference"/>
        </w:rPr>
        <w:footnoteRef/>
      </w:r>
      <w:r w:rsidRPr="001C7A8B">
        <w:t>L. Chandra Kuma</w:t>
      </w:r>
      <w:r>
        <w:t>r v. UOI AIR 1997 SC 1125</w:t>
      </w:r>
    </w:p>
  </w:footnote>
  <w:footnote w:id="4">
    <w:p w:rsidR="00D776FD" w:rsidRDefault="00D776FD">
      <w:pPr>
        <w:pStyle w:val="FootnoteText"/>
      </w:pPr>
      <w:r>
        <w:rPr>
          <w:rStyle w:val="FootnoteReference"/>
        </w:rPr>
        <w:footnoteRef/>
      </w:r>
      <w:r w:rsidRPr="003E24D3">
        <w:t xml:space="preserve">S.P. Sampath Kumar v. </w:t>
      </w:r>
      <w:r>
        <w:t xml:space="preserve">UOI, 1987 </w:t>
      </w:r>
      <w:r w:rsidRPr="003E24D3">
        <w:t>ILLJ128SC</w:t>
      </w:r>
    </w:p>
  </w:footnote>
  <w:footnote w:id="5">
    <w:p w:rsidR="00D776FD" w:rsidRDefault="00D776FD">
      <w:pPr>
        <w:pStyle w:val="FootnoteText"/>
      </w:pPr>
      <w:r>
        <w:rPr>
          <w:rStyle w:val="FootnoteReference"/>
        </w:rPr>
        <w:footnoteRef/>
      </w:r>
      <w:r w:rsidRPr="009D6649">
        <w:t>L. Chandra Kumar v. UOI AIR 1997 SC 1125</w:t>
      </w:r>
    </w:p>
  </w:footnote>
  <w:footnote w:id="6">
    <w:p w:rsidR="00D776FD" w:rsidRDefault="00D776FD" w:rsidP="00CE2333">
      <w:pPr>
        <w:pStyle w:val="FootnoteText"/>
      </w:pPr>
      <w:r>
        <w:rPr>
          <w:rStyle w:val="FootnoteReference"/>
        </w:rPr>
        <w:footnoteRef/>
      </w:r>
      <w:r>
        <w:t>R.Ramar v. The Secretary To Government  S.L.P. No. 17768 of 1991</w:t>
      </w:r>
    </w:p>
  </w:footnote>
  <w:footnote w:id="7">
    <w:p w:rsidR="00D776FD" w:rsidRDefault="00D776FD">
      <w:pPr>
        <w:pStyle w:val="FootnoteText"/>
      </w:pPr>
      <w:r>
        <w:rPr>
          <w:rStyle w:val="FootnoteReference"/>
        </w:rPr>
        <w:footnoteRef/>
      </w:r>
      <w:r w:rsidRPr="00FF6233">
        <w:t xml:space="preserve">J.B. Chopra and Ors v. </w:t>
      </w:r>
      <w:r>
        <w:t>UOI</w:t>
      </w:r>
      <w:r w:rsidRPr="00FF6233">
        <w:t xml:space="preserve"> , AIR 1987 SC 357</w:t>
      </w:r>
    </w:p>
  </w:footnote>
  <w:footnote w:id="8">
    <w:p w:rsidR="00D776FD" w:rsidRDefault="00D776FD">
      <w:pPr>
        <w:pStyle w:val="FootnoteText"/>
      </w:pPr>
      <w:r>
        <w:rPr>
          <w:rStyle w:val="FootnoteReference"/>
        </w:rPr>
        <w:footnoteRef/>
      </w:r>
      <w:r w:rsidRPr="00261F03">
        <w:rPr>
          <w:bCs/>
        </w:rPr>
        <w:t>Kesavananda Bharati</w:t>
      </w:r>
      <w:r w:rsidRPr="00261F03">
        <w:t> Sripadagalvaru and Or</w:t>
      </w:r>
      <w:r>
        <w:t>s. v. State of Kerala and Anr. (1973) 4 SCC 225</w:t>
      </w:r>
    </w:p>
  </w:footnote>
  <w:footnote w:id="9">
    <w:p w:rsidR="00D776FD" w:rsidRDefault="00D776FD">
      <w:pPr>
        <w:pStyle w:val="FootnoteText"/>
      </w:pPr>
      <w:r>
        <w:rPr>
          <w:rStyle w:val="FootnoteReference"/>
        </w:rPr>
        <w:footnoteRef/>
      </w:r>
      <w:r w:rsidRPr="00261F03">
        <w:t>Fertilizer C</w:t>
      </w:r>
      <w:r>
        <w:t>orporation Kamgar Union v. UOI</w:t>
      </w:r>
      <w:r w:rsidRPr="00261F03">
        <w:t xml:space="preserve"> (1981)ILLJ193SC</w:t>
      </w:r>
    </w:p>
  </w:footnote>
  <w:footnote w:id="10">
    <w:p w:rsidR="00D776FD" w:rsidRDefault="00D776FD">
      <w:pPr>
        <w:pStyle w:val="FootnoteText"/>
      </w:pPr>
      <w:r>
        <w:rPr>
          <w:rStyle w:val="FootnoteReference"/>
        </w:rPr>
        <w:footnoteRef/>
      </w:r>
      <w:r w:rsidRPr="00261F03">
        <w:t xml:space="preserve">Delhi Judicial Service Association v. State of </w:t>
      </w:r>
      <w:r w:rsidR="00DC2CE8" w:rsidRPr="00261F03">
        <w:t>Gujarat AIR</w:t>
      </w:r>
      <w:r w:rsidRPr="00261F03">
        <w:t>1991SC2150</w:t>
      </w:r>
    </w:p>
  </w:footnote>
  <w:footnote w:id="11">
    <w:p w:rsidR="00D776FD" w:rsidRDefault="00D776FD">
      <w:pPr>
        <w:pStyle w:val="FootnoteText"/>
      </w:pPr>
      <w:r>
        <w:rPr>
          <w:rStyle w:val="FootnoteReference"/>
        </w:rPr>
        <w:footnoteRef/>
      </w:r>
      <w:r w:rsidRPr="00367E14">
        <w:t>Minerva Mills v.</w:t>
      </w:r>
      <w:r>
        <w:t xml:space="preserve"> UOI AIR 1986 SC 2030 </w:t>
      </w:r>
    </w:p>
  </w:footnote>
  <w:footnote w:id="12">
    <w:p w:rsidR="00D776FD" w:rsidRDefault="00D776FD">
      <w:pPr>
        <w:pStyle w:val="FootnoteText"/>
      </w:pPr>
      <w:r>
        <w:rPr>
          <w:rStyle w:val="FootnoteReference"/>
        </w:rPr>
        <w:footnoteRef/>
      </w:r>
      <w:r>
        <w:t xml:space="preserve"> UOI</w:t>
      </w:r>
      <w:r w:rsidRPr="0073390B">
        <w:t xml:space="preserve"> v. Parmanand AIR 1989 SC 1185</w:t>
      </w:r>
    </w:p>
  </w:footnote>
  <w:footnote w:id="13">
    <w:p w:rsidR="00D776FD" w:rsidRPr="000A1C98" w:rsidRDefault="00D776FD">
      <w:pPr>
        <w:pStyle w:val="FootnoteText"/>
        <w:rPr>
          <w:bCs/>
        </w:rPr>
      </w:pPr>
      <w:r>
        <w:rPr>
          <w:rStyle w:val="FootnoteReference"/>
        </w:rPr>
        <w:footnoteRef/>
      </w:r>
      <w:r w:rsidRPr="008A59C7">
        <w:rPr>
          <w:bCs/>
        </w:rPr>
        <w:t>Amulya Chandra Kalita v</w:t>
      </w:r>
      <w:r>
        <w:rPr>
          <w:bCs/>
        </w:rPr>
        <w:t xml:space="preserve">. UOIand Ors. </w:t>
      </w:r>
      <w:r w:rsidRPr="008A59C7">
        <w:rPr>
          <w:bCs/>
        </w:rPr>
        <w:t>(1990) ILLJ 523 SC</w:t>
      </w:r>
    </w:p>
  </w:footnote>
  <w:footnote w:id="14">
    <w:p w:rsidR="00D776FD" w:rsidRPr="000A1C98" w:rsidRDefault="00D776FD">
      <w:pPr>
        <w:pStyle w:val="FootnoteText"/>
        <w:rPr>
          <w:bCs/>
        </w:rPr>
      </w:pPr>
      <w:r>
        <w:rPr>
          <w:rStyle w:val="FootnoteReference"/>
        </w:rPr>
        <w:footnoteRef/>
      </w:r>
      <w:r w:rsidRPr="000A1C98">
        <w:rPr>
          <w:bCs/>
        </w:rPr>
        <w:t>Dr. Mahabal Ram v. Indian Council Of Agriculture Research 1994 SCC (2) 401</w:t>
      </w:r>
    </w:p>
  </w:footnote>
  <w:footnote w:id="15">
    <w:p w:rsidR="00D776FD" w:rsidRDefault="00D776FD">
      <w:pPr>
        <w:pStyle w:val="FootnoteText"/>
      </w:pPr>
      <w:r>
        <w:rPr>
          <w:rStyle w:val="FootnoteReference"/>
        </w:rPr>
        <w:footnoteRef/>
      </w:r>
      <w:r w:rsidRPr="00204181">
        <w:t>SakinalaHarinath and Ors. v. State of Andra Pradesh 1992 (1) APLJ 168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C83"/>
    <w:multiLevelType w:val="hybridMultilevel"/>
    <w:tmpl w:val="39609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F2942"/>
    <w:multiLevelType w:val="hybridMultilevel"/>
    <w:tmpl w:val="1CE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01458"/>
    <w:multiLevelType w:val="hybridMultilevel"/>
    <w:tmpl w:val="C7161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E62D2"/>
    <w:multiLevelType w:val="multilevel"/>
    <w:tmpl w:val="DBC4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504B8"/>
    <w:multiLevelType w:val="hybridMultilevel"/>
    <w:tmpl w:val="4B2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21672"/>
    <w:multiLevelType w:val="hybridMultilevel"/>
    <w:tmpl w:val="88A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A05F4"/>
    <w:multiLevelType w:val="hybridMultilevel"/>
    <w:tmpl w:val="27B6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6045D"/>
    <w:multiLevelType w:val="hybridMultilevel"/>
    <w:tmpl w:val="384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53DEE"/>
    <w:multiLevelType w:val="hybridMultilevel"/>
    <w:tmpl w:val="3E7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A2EAC"/>
    <w:multiLevelType w:val="hybridMultilevel"/>
    <w:tmpl w:val="29A62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0F70AAE"/>
    <w:multiLevelType w:val="hybridMultilevel"/>
    <w:tmpl w:val="822090F8"/>
    <w:lvl w:ilvl="0" w:tplc="9FDA20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77474BD"/>
    <w:multiLevelType w:val="hybridMultilevel"/>
    <w:tmpl w:val="7BE0E5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E794EC2"/>
    <w:multiLevelType w:val="hybridMultilevel"/>
    <w:tmpl w:val="66A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1"/>
  </w:num>
  <w:num w:numId="6">
    <w:abstractNumId w:val="3"/>
  </w:num>
  <w:num w:numId="7">
    <w:abstractNumId w:val="6"/>
  </w:num>
  <w:num w:numId="8">
    <w:abstractNumId w:val="2"/>
  </w:num>
  <w:num w:numId="9">
    <w:abstractNumId w:val="5"/>
  </w:num>
  <w:num w:numId="10">
    <w:abstractNumId w:val="7"/>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9C73D0"/>
    <w:rsid w:val="00012690"/>
    <w:rsid w:val="000A1C98"/>
    <w:rsid w:val="000B7BBD"/>
    <w:rsid w:val="00125354"/>
    <w:rsid w:val="001C7A8B"/>
    <w:rsid w:val="00204181"/>
    <w:rsid w:val="00212646"/>
    <w:rsid w:val="0022354B"/>
    <w:rsid w:val="00261F03"/>
    <w:rsid w:val="002A2445"/>
    <w:rsid w:val="002C5A3D"/>
    <w:rsid w:val="002E4246"/>
    <w:rsid w:val="002F049F"/>
    <w:rsid w:val="002F1909"/>
    <w:rsid w:val="00321DA6"/>
    <w:rsid w:val="00322562"/>
    <w:rsid w:val="00361499"/>
    <w:rsid w:val="00367E14"/>
    <w:rsid w:val="003D572D"/>
    <w:rsid w:val="003E24D3"/>
    <w:rsid w:val="0048788D"/>
    <w:rsid w:val="004E7282"/>
    <w:rsid w:val="0054733D"/>
    <w:rsid w:val="005519AA"/>
    <w:rsid w:val="00573645"/>
    <w:rsid w:val="00591478"/>
    <w:rsid w:val="005D5092"/>
    <w:rsid w:val="005D51D8"/>
    <w:rsid w:val="006E419B"/>
    <w:rsid w:val="00704628"/>
    <w:rsid w:val="0073390B"/>
    <w:rsid w:val="007761BD"/>
    <w:rsid w:val="007F59EE"/>
    <w:rsid w:val="00804F02"/>
    <w:rsid w:val="0085617E"/>
    <w:rsid w:val="008A59C7"/>
    <w:rsid w:val="00910A93"/>
    <w:rsid w:val="00955AA5"/>
    <w:rsid w:val="0097514D"/>
    <w:rsid w:val="009C73D0"/>
    <w:rsid w:val="009D6649"/>
    <w:rsid w:val="009D7A36"/>
    <w:rsid w:val="00A45B9E"/>
    <w:rsid w:val="00A91A2B"/>
    <w:rsid w:val="00B07BFF"/>
    <w:rsid w:val="00B76AE0"/>
    <w:rsid w:val="00BA0E02"/>
    <w:rsid w:val="00BA1795"/>
    <w:rsid w:val="00BB25A3"/>
    <w:rsid w:val="00BD29A1"/>
    <w:rsid w:val="00CB7477"/>
    <w:rsid w:val="00CE2333"/>
    <w:rsid w:val="00D03F8C"/>
    <w:rsid w:val="00D776FD"/>
    <w:rsid w:val="00DB1073"/>
    <w:rsid w:val="00DC2CE8"/>
    <w:rsid w:val="00DC594B"/>
    <w:rsid w:val="00E14E3C"/>
    <w:rsid w:val="00EC15AA"/>
    <w:rsid w:val="00EC298C"/>
    <w:rsid w:val="00F5723B"/>
    <w:rsid w:val="00F72783"/>
    <w:rsid w:val="00F922FD"/>
    <w:rsid w:val="00FA0B30"/>
    <w:rsid w:val="00FA5B15"/>
    <w:rsid w:val="00FB3BFD"/>
    <w:rsid w:val="00FC1644"/>
    <w:rsid w:val="00FD22CC"/>
    <w:rsid w:val="00FF6233"/>
    <w:rsid w:val="00FF6B9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0"/>
  </w:style>
  <w:style w:type="paragraph" w:styleId="Heading1">
    <w:name w:val="heading 1"/>
    <w:basedOn w:val="Normal"/>
    <w:next w:val="Normal"/>
    <w:link w:val="Heading1Char"/>
    <w:uiPriority w:val="9"/>
    <w:qFormat/>
    <w:rsid w:val="005D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D0"/>
    <w:rPr>
      <w:rFonts w:ascii="Tahoma" w:hAnsi="Tahoma" w:cs="Tahoma"/>
      <w:sz w:val="16"/>
      <w:szCs w:val="16"/>
    </w:rPr>
  </w:style>
  <w:style w:type="character" w:customStyle="1" w:styleId="Heading1Char">
    <w:name w:val="Heading 1 Char"/>
    <w:basedOn w:val="DefaultParagraphFont"/>
    <w:link w:val="Heading1"/>
    <w:uiPriority w:val="9"/>
    <w:rsid w:val="005D51D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C7A8B"/>
    <w:pPr>
      <w:spacing w:after="0" w:line="240" w:lineRule="auto"/>
    </w:pPr>
    <w:rPr>
      <w:sz w:val="20"/>
      <w:szCs w:val="20"/>
    </w:rPr>
  </w:style>
  <w:style w:type="character" w:customStyle="1" w:styleId="FootnoteTextChar">
    <w:name w:val="Footnote Text Char"/>
    <w:basedOn w:val="DefaultParagraphFont"/>
    <w:link w:val="FootnoteText"/>
    <w:uiPriority w:val="99"/>
    <w:rsid w:val="001C7A8B"/>
    <w:rPr>
      <w:sz w:val="20"/>
      <w:szCs w:val="20"/>
    </w:rPr>
  </w:style>
  <w:style w:type="character" w:styleId="FootnoteReference">
    <w:name w:val="footnote reference"/>
    <w:basedOn w:val="DefaultParagraphFont"/>
    <w:uiPriority w:val="99"/>
    <w:semiHidden/>
    <w:unhideWhenUsed/>
    <w:rsid w:val="001C7A8B"/>
    <w:rPr>
      <w:vertAlign w:val="superscript"/>
    </w:rPr>
  </w:style>
  <w:style w:type="character" w:styleId="Hyperlink">
    <w:name w:val="Hyperlink"/>
    <w:basedOn w:val="DefaultParagraphFont"/>
    <w:uiPriority w:val="99"/>
    <w:unhideWhenUsed/>
    <w:rsid w:val="001C7A8B"/>
    <w:rPr>
      <w:color w:val="0000FF" w:themeColor="hyperlink"/>
      <w:u w:val="single"/>
    </w:rPr>
  </w:style>
  <w:style w:type="paragraph" w:styleId="ListParagraph">
    <w:name w:val="List Paragraph"/>
    <w:basedOn w:val="Normal"/>
    <w:uiPriority w:val="34"/>
    <w:qFormat/>
    <w:rsid w:val="00361499"/>
    <w:pPr>
      <w:ind w:left="720"/>
      <w:contextualSpacing/>
    </w:pPr>
  </w:style>
  <w:style w:type="paragraph" w:styleId="NormalWeb">
    <w:name w:val="Normal (Web)"/>
    <w:basedOn w:val="Normal"/>
    <w:uiPriority w:val="99"/>
    <w:semiHidden/>
    <w:unhideWhenUsed/>
    <w:rsid w:val="005914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2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246"/>
  </w:style>
  <w:style w:type="paragraph" w:styleId="Footer">
    <w:name w:val="footer"/>
    <w:basedOn w:val="Normal"/>
    <w:link w:val="FooterChar"/>
    <w:uiPriority w:val="99"/>
    <w:unhideWhenUsed/>
    <w:rsid w:val="002E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246"/>
  </w:style>
  <w:style w:type="paragraph" w:styleId="HTMLPreformatted">
    <w:name w:val="HTML Preformatted"/>
    <w:basedOn w:val="Normal"/>
    <w:link w:val="HTMLPreformattedChar"/>
    <w:uiPriority w:val="99"/>
    <w:semiHidden/>
    <w:unhideWhenUsed/>
    <w:rsid w:val="008A59C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A59C7"/>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217983496">
      <w:bodyDiv w:val="1"/>
      <w:marLeft w:val="0"/>
      <w:marRight w:val="0"/>
      <w:marTop w:val="0"/>
      <w:marBottom w:val="0"/>
      <w:divBdr>
        <w:top w:val="none" w:sz="0" w:space="0" w:color="auto"/>
        <w:left w:val="none" w:sz="0" w:space="0" w:color="auto"/>
        <w:bottom w:val="none" w:sz="0" w:space="0" w:color="auto"/>
        <w:right w:val="none" w:sz="0" w:space="0" w:color="auto"/>
      </w:divBdr>
      <w:divsChild>
        <w:div w:id="1235628105">
          <w:marLeft w:val="0"/>
          <w:marRight w:val="0"/>
          <w:marTop w:val="0"/>
          <w:marBottom w:val="150"/>
          <w:divBdr>
            <w:top w:val="none" w:sz="0" w:space="0" w:color="auto"/>
            <w:left w:val="none" w:sz="0" w:space="0" w:color="auto"/>
            <w:bottom w:val="none" w:sz="0" w:space="0" w:color="auto"/>
            <w:right w:val="none" w:sz="0" w:space="0" w:color="auto"/>
          </w:divBdr>
        </w:div>
        <w:div w:id="1899633636">
          <w:marLeft w:val="0"/>
          <w:marRight w:val="0"/>
          <w:marTop w:val="0"/>
          <w:marBottom w:val="75"/>
          <w:divBdr>
            <w:top w:val="none" w:sz="0" w:space="0" w:color="auto"/>
            <w:left w:val="none" w:sz="0" w:space="0" w:color="auto"/>
            <w:bottom w:val="none" w:sz="0" w:space="0" w:color="auto"/>
            <w:right w:val="none" w:sz="0" w:space="0" w:color="auto"/>
          </w:divBdr>
        </w:div>
      </w:divsChild>
    </w:div>
    <w:div w:id="278727339">
      <w:bodyDiv w:val="1"/>
      <w:marLeft w:val="0"/>
      <w:marRight w:val="0"/>
      <w:marTop w:val="0"/>
      <w:marBottom w:val="0"/>
      <w:divBdr>
        <w:top w:val="none" w:sz="0" w:space="0" w:color="auto"/>
        <w:left w:val="none" w:sz="0" w:space="0" w:color="auto"/>
        <w:bottom w:val="none" w:sz="0" w:space="0" w:color="auto"/>
        <w:right w:val="none" w:sz="0" w:space="0" w:color="auto"/>
      </w:divBdr>
    </w:div>
    <w:div w:id="366954779">
      <w:bodyDiv w:val="1"/>
      <w:marLeft w:val="0"/>
      <w:marRight w:val="0"/>
      <w:marTop w:val="0"/>
      <w:marBottom w:val="0"/>
      <w:divBdr>
        <w:top w:val="none" w:sz="0" w:space="0" w:color="auto"/>
        <w:left w:val="none" w:sz="0" w:space="0" w:color="auto"/>
        <w:bottom w:val="none" w:sz="0" w:space="0" w:color="auto"/>
        <w:right w:val="none" w:sz="0" w:space="0" w:color="auto"/>
      </w:divBdr>
      <w:divsChild>
        <w:div w:id="1540780927">
          <w:marLeft w:val="0"/>
          <w:marRight w:val="0"/>
          <w:marTop w:val="0"/>
          <w:marBottom w:val="150"/>
          <w:divBdr>
            <w:top w:val="none" w:sz="0" w:space="0" w:color="auto"/>
            <w:left w:val="none" w:sz="0" w:space="0" w:color="auto"/>
            <w:bottom w:val="none" w:sz="0" w:space="0" w:color="auto"/>
            <w:right w:val="none" w:sz="0" w:space="0" w:color="auto"/>
          </w:divBdr>
        </w:div>
        <w:div w:id="1894074143">
          <w:marLeft w:val="0"/>
          <w:marRight w:val="0"/>
          <w:marTop w:val="0"/>
          <w:marBottom w:val="75"/>
          <w:divBdr>
            <w:top w:val="none" w:sz="0" w:space="0" w:color="auto"/>
            <w:left w:val="none" w:sz="0" w:space="0" w:color="auto"/>
            <w:bottom w:val="none" w:sz="0" w:space="0" w:color="auto"/>
            <w:right w:val="none" w:sz="0" w:space="0" w:color="auto"/>
          </w:divBdr>
        </w:div>
      </w:divsChild>
    </w:div>
    <w:div w:id="387462174">
      <w:bodyDiv w:val="1"/>
      <w:marLeft w:val="0"/>
      <w:marRight w:val="0"/>
      <w:marTop w:val="0"/>
      <w:marBottom w:val="0"/>
      <w:divBdr>
        <w:top w:val="none" w:sz="0" w:space="0" w:color="auto"/>
        <w:left w:val="none" w:sz="0" w:space="0" w:color="auto"/>
        <w:bottom w:val="none" w:sz="0" w:space="0" w:color="auto"/>
        <w:right w:val="none" w:sz="0" w:space="0" w:color="auto"/>
      </w:divBdr>
    </w:div>
    <w:div w:id="399715391">
      <w:bodyDiv w:val="1"/>
      <w:marLeft w:val="0"/>
      <w:marRight w:val="0"/>
      <w:marTop w:val="0"/>
      <w:marBottom w:val="0"/>
      <w:divBdr>
        <w:top w:val="none" w:sz="0" w:space="0" w:color="auto"/>
        <w:left w:val="none" w:sz="0" w:space="0" w:color="auto"/>
        <w:bottom w:val="none" w:sz="0" w:space="0" w:color="auto"/>
        <w:right w:val="none" w:sz="0" w:space="0" w:color="auto"/>
      </w:divBdr>
      <w:divsChild>
        <w:div w:id="1784838837">
          <w:marLeft w:val="0"/>
          <w:marRight w:val="0"/>
          <w:marTop w:val="0"/>
          <w:marBottom w:val="150"/>
          <w:divBdr>
            <w:top w:val="none" w:sz="0" w:space="0" w:color="auto"/>
            <w:left w:val="none" w:sz="0" w:space="0" w:color="auto"/>
            <w:bottom w:val="none" w:sz="0" w:space="0" w:color="auto"/>
            <w:right w:val="none" w:sz="0" w:space="0" w:color="auto"/>
          </w:divBdr>
        </w:div>
        <w:div w:id="673193867">
          <w:marLeft w:val="0"/>
          <w:marRight w:val="0"/>
          <w:marTop w:val="0"/>
          <w:marBottom w:val="75"/>
          <w:divBdr>
            <w:top w:val="none" w:sz="0" w:space="0" w:color="auto"/>
            <w:left w:val="none" w:sz="0" w:space="0" w:color="auto"/>
            <w:bottom w:val="none" w:sz="0" w:space="0" w:color="auto"/>
            <w:right w:val="none" w:sz="0" w:space="0" w:color="auto"/>
          </w:divBdr>
        </w:div>
      </w:divsChild>
    </w:div>
    <w:div w:id="412430570">
      <w:bodyDiv w:val="1"/>
      <w:marLeft w:val="0"/>
      <w:marRight w:val="0"/>
      <w:marTop w:val="0"/>
      <w:marBottom w:val="0"/>
      <w:divBdr>
        <w:top w:val="none" w:sz="0" w:space="0" w:color="auto"/>
        <w:left w:val="none" w:sz="0" w:space="0" w:color="auto"/>
        <w:bottom w:val="none" w:sz="0" w:space="0" w:color="auto"/>
        <w:right w:val="none" w:sz="0" w:space="0" w:color="auto"/>
      </w:divBdr>
      <w:divsChild>
        <w:div w:id="1852986606">
          <w:marLeft w:val="0"/>
          <w:marRight w:val="0"/>
          <w:marTop w:val="0"/>
          <w:marBottom w:val="150"/>
          <w:divBdr>
            <w:top w:val="none" w:sz="0" w:space="0" w:color="auto"/>
            <w:left w:val="none" w:sz="0" w:space="0" w:color="auto"/>
            <w:bottom w:val="none" w:sz="0" w:space="0" w:color="auto"/>
            <w:right w:val="none" w:sz="0" w:space="0" w:color="auto"/>
          </w:divBdr>
        </w:div>
        <w:div w:id="1196428850">
          <w:marLeft w:val="0"/>
          <w:marRight w:val="0"/>
          <w:marTop w:val="0"/>
          <w:marBottom w:val="75"/>
          <w:divBdr>
            <w:top w:val="none" w:sz="0" w:space="0" w:color="auto"/>
            <w:left w:val="none" w:sz="0" w:space="0" w:color="auto"/>
            <w:bottom w:val="none" w:sz="0" w:space="0" w:color="auto"/>
            <w:right w:val="none" w:sz="0" w:space="0" w:color="auto"/>
          </w:divBdr>
        </w:div>
      </w:divsChild>
    </w:div>
    <w:div w:id="488327568">
      <w:bodyDiv w:val="1"/>
      <w:marLeft w:val="0"/>
      <w:marRight w:val="0"/>
      <w:marTop w:val="0"/>
      <w:marBottom w:val="0"/>
      <w:divBdr>
        <w:top w:val="none" w:sz="0" w:space="0" w:color="auto"/>
        <w:left w:val="none" w:sz="0" w:space="0" w:color="auto"/>
        <w:bottom w:val="none" w:sz="0" w:space="0" w:color="auto"/>
        <w:right w:val="none" w:sz="0" w:space="0" w:color="auto"/>
      </w:divBdr>
    </w:div>
    <w:div w:id="737943870">
      <w:bodyDiv w:val="1"/>
      <w:marLeft w:val="0"/>
      <w:marRight w:val="0"/>
      <w:marTop w:val="0"/>
      <w:marBottom w:val="0"/>
      <w:divBdr>
        <w:top w:val="none" w:sz="0" w:space="0" w:color="auto"/>
        <w:left w:val="none" w:sz="0" w:space="0" w:color="auto"/>
        <w:bottom w:val="none" w:sz="0" w:space="0" w:color="auto"/>
        <w:right w:val="none" w:sz="0" w:space="0" w:color="auto"/>
      </w:divBdr>
    </w:div>
    <w:div w:id="881671681">
      <w:bodyDiv w:val="1"/>
      <w:marLeft w:val="0"/>
      <w:marRight w:val="0"/>
      <w:marTop w:val="0"/>
      <w:marBottom w:val="0"/>
      <w:divBdr>
        <w:top w:val="none" w:sz="0" w:space="0" w:color="auto"/>
        <w:left w:val="none" w:sz="0" w:space="0" w:color="auto"/>
        <w:bottom w:val="none" w:sz="0" w:space="0" w:color="auto"/>
        <w:right w:val="none" w:sz="0" w:space="0" w:color="auto"/>
      </w:divBdr>
    </w:div>
    <w:div w:id="1013648348">
      <w:bodyDiv w:val="1"/>
      <w:marLeft w:val="0"/>
      <w:marRight w:val="0"/>
      <w:marTop w:val="0"/>
      <w:marBottom w:val="0"/>
      <w:divBdr>
        <w:top w:val="none" w:sz="0" w:space="0" w:color="auto"/>
        <w:left w:val="none" w:sz="0" w:space="0" w:color="auto"/>
        <w:bottom w:val="none" w:sz="0" w:space="0" w:color="auto"/>
        <w:right w:val="none" w:sz="0" w:space="0" w:color="auto"/>
      </w:divBdr>
    </w:div>
    <w:div w:id="1092899014">
      <w:bodyDiv w:val="1"/>
      <w:marLeft w:val="0"/>
      <w:marRight w:val="0"/>
      <w:marTop w:val="0"/>
      <w:marBottom w:val="0"/>
      <w:divBdr>
        <w:top w:val="none" w:sz="0" w:space="0" w:color="auto"/>
        <w:left w:val="none" w:sz="0" w:space="0" w:color="auto"/>
        <w:bottom w:val="none" w:sz="0" w:space="0" w:color="auto"/>
        <w:right w:val="none" w:sz="0" w:space="0" w:color="auto"/>
      </w:divBdr>
      <w:divsChild>
        <w:div w:id="924804421">
          <w:marLeft w:val="336"/>
          <w:marRight w:val="0"/>
          <w:marTop w:val="120"/>
          <w:marBottom w:val="312"/>
          <w:divBdr>
            <w:top w:val="none" w:sz="0" w:space="0" w:color="auto"/>
            <w:left w:val="none" w:sz="0" w:space="0" w:color="auto"/>
            <w:bottom w:val="none" w:sz="0" w:space="0" w:color="auto"/>
            <w:right w:val="none" w:sz="0" w:space="0" w:color="auto"/>
          </w:divBdr>
          <w:divsChild>
            <w:div w:id="369758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16755199">
      <w:bodyDiv w:val="1"/>
      <w:marLeft w:val="0"/>
      <w:marRight w:val="0"/>
      <w:marTop w:val="0"/>
      <w:marBottom w:val="0"/>
      <w:divBdr>
        <w:top w:val="none" w:sz="0" w:space="0" w:color="auto"/>
        <w:left w:val="none" w:sz="0" w:space="0" w:color="auto"/>
        <w:bottom w:val="none" w:sz="0" w:space="0" w:color="auto"/>
        <w:right w:val="none" w:sz="0" w:space="0" w:color="auto"/>
      </w:divBdr>
    </w:div>
    <w:div w:id="1200893594">
      <w:bodyDiv w:val="1"/>
      <w:marLeft w:val="0"/>
      <w:marRight w:val="0"/>
      <w:marTop w:val="0"/>
      <w:marBottom w:val="0"/>
      <w:divBdr>
        <w:top w:val="none" w:sz="0" w:space="0" w:color="auto"/>
        <w:left w:val="none" w:sz="0" w:space="0" w:color="auto"/>
        <w:bottom w:val="none" w:sz="0" w:space="0" w:color="auto"/>
        <w:right w:val="none" w:sz="0" w:space="0" w:color="auto"/>
      </w:divBdr>
    </w:div>
    <w:div w:id="1202858924">
      <w:bodyDiv w:val="1"/>
      <w:marLeft w:val="0"/>
      <w:marRight w:val="0"/>
      <w:marTop w:val="0"/>
      <w:marBottom w:val="0"/>
      <w:divBdr>
        <w:top w:val="none" w:sz="0" w:space="0" w:color="auto"/>
        <w:left w:val="none" w:sz="0" w:space="0" w:color="auto"/>
        <w:bottom w:val="none" w:sz="0" w:space="0" w:color="auto"/>
        <w:right w:val="none" w:sz="0" w:space="0" w:color="auto"/>
      </w:divBdr>
    </w:div>
    <w:div w:id="1312712382">
      <w:bodyDiv w:val="1"/>
      <w:marLeft w:val="0"/>
      <w:marRight w:val="0"/>
      <w:marTop w:val="0"/>
      <w:marBottom w:val="0"/>
      <w:divBdr>
        <w:top w:val="none" w:sz="0" w:space="0" w:color="auto"/>
        <w:left w:val="none" w:sz="0" w:space="0" w:color="auto"/>
        <w:bottom w:val="none" w:sz="0" w:space="0" w:color="auto"/>
        <w:right w:val="none" w:sz="0" w:space="0" w:color="auto"/>
      </w:divBdr>
    </w:div>
    <w:div w:id="1563633856">
      <w:bodyDiv w:val="1"/>
      <w:marLeft w:val="0"/>
      <w:marRight w:val="0"/>
      <w:marTop w:val="0"/>
      <w:marBottom w:val="0"/>
      <w:divBdr>
        <w:top w:val="none" w:sz="0" w:space="0" w:color="auto"/>
        <w:left w:val="none" w:sz="0" w:space="0" w:color="auto"/>
        <w:bottom w:val="none" w:sz="0" w:space="0" w:color="auto"/>
        <w:right w:val="none" w:sz="0" w:space="0" w:color="auto"/>
      </w:divBdr>
    </w:div>
    <w:div w:id="1639532049">
      <w:bodyDiv w:val="1"/>
      <w:marLeft w:val="0"/>
      <w:marRight w:val="0"/>
      <w:marTop w:val="0"/>
      <w:marBottom w:val="0"/>
      <w:divBdr>
        <w:top w:val="none" w:sz="0" w:space="0" w:color="auto"/>
        <w:left w:val="none" w:sz="0" w:space="0" w:color="auto"/>
        <w:bottom w:val="none" w:sz="0" w:space="0" w:color="auto"/>
        <w:right w:val="none" w:sz="0" w:space="0" w:color="auto"/>
      </w:divBdr>
    </w:div>
    <w:div w:id="1697072139">
      <w:bodyDiv w:val="1"/>
      <w:marLeft w:val="0"/>
      <w:marRight w:val="0"/>
      <w:marTop w:val="0"/>
      <w:marBottom w:val="0"/>
      <w:divBdr>
        <w:top w:val="none" w:sz="0" w:space="0" w:color="auto"/>
        <w:left w:val="none" w:sz="0" w:space="0" w:color="auto"/>
        <w:bottom w:val="none" w:sz="0" w:space="0" w:color="auto"/>
        <w:right w:val="none" w:sz="0" w:space="0" w:color="auto"/>
      </w:divBdr>
    </w:div>
    <w:div w:id="1698922215">
      <w:bodyDiv w:val="1"/>
      <w:marLeft w:val="0"/>
      <w:marRight w:val="0"/>
      <w:marTop w:val="0"/>
      <w:marBottom w:val="0"/>
      <w:divBdr>
        <w:top w:val="none" w:sz="0" w:space="0" w:color="auto"/>
        <w:left w:val="none" w:sz="0" w:space="0" w:color="auto"/>
        <w:bottom w:val="none" w:sz="0" w:space="0" w:color="auto"/>
        <w:right w:val="none" w:sz="0" w:space="0" w:color="auto"/>
      </w:divBdr>
    </w:div>
    <w:div w:id="1706828176">
      <w:bodyDiv w:val="1"/>
      <w:marLeft w:val="0"/>
      <w:marRight w:val="0"/>
      <w:marTop w:val="0"/>
      <w:marBottom w:val="0"/>
      <w:divBdr>
        <w:top w:val="none" w:sz="0" w:space="0" w:color="auto"/>
        <w:left w:val="none" w:sz="0" w:space="0" w:color="auto"/>
        <w:bottom w:val="none" w:sz="0" w:space="0" w:color="auto"/>
        <w:right w:val="none" w:sz="0" w:space="0" w:color="auto"/>
      </w:divBdr>
    </w:div>
    <w:div w:id="1724215423">
      <w:bodyDiv w:val="1"/>
      <w:marLeft w:val="0"/>
      <w:marRight w:val="0"/>
      <w:marTop w:val="0"/>
      <w:marBottom w:val="0"/>
      <w:divBdr>
        <w:top w:val="none" w:sz="0" w:space="0" w:color="auto"/>
        <w:left w:val="none" w:sz="0" w:space="0" w:color="auto"/>
        <w:bottom w:val="none" w:sz="0" w:space="0" w:color="auto"/>
        <w:right w:val="none" w:sz="0" w:space="0" w:color="auto"/>
      </w:divBdr>
    </w:div>
    <w:div w:id="1806124626">
      <w:bodyDiv w:val="1"/>
      <w:marLeft w:val="0"/>
      <w:marRight w:val="0"/>
      <w:marTop w:val="0"/>
      <w:marBottom w:val="0"/>
      <w:divBdr>
        <w:top w:val="none" w:sz="0" w:space="0" w:color="auto"/>
        <w:left w:val="none" w:sz="0" w:space="0" w:color="auto"/>
        <w:bottom w:val="none" w:sz="0" w:space="0" w:color="auto"/>
        <w:right w:val="none" w:sz="0" w:space="0" w:color="auto"/>
      </w:divBdr>
    </w:div>
    <w:div w:id="1942377313">
      <w:bodyDiv w:val="1"/>
      <w:marLeft w:val="0"/>
      <w:marRight w:val="0"/>
      <w:marTop w:val="0"/>
      <w:marBottom w:val="0"/>
      <w:divBdr>
        <w:top w:val="none" w:sz="0" w:space="0" w:color="auto"/>
        <w:left w:val="none" w:sz="0" w:space="0" w:color="auto"/>
        <w:bottom w:val="none" w:sz="0" w:space="0" w:color="auto"/>
        <w:right w:val="none" w:sz="0" w:space="0" w:color="auto"/>
      </w:divBdr>
    </w:div>
    <w:div w:id="2048679597">
      <w:bodyDiv w:val="1"/>
      <w:marLeft w:val="0"/>
      <w:marRight w:val="0"/>
      <w:marTop w:val="0"/>
      <w:marBottom w:val="0"/>
      <w:divBdr>
        <w:top w:val="none" w:sz="0" w:space="0" w:color="auto"/>
        <w:left w:val="none" w:sz="0" w:space="0" w:color="auto"/>
        <w:bottom w:val="none" w:sz="0" w:space="0" w:color="auto"/>
        <w:right w:val="none" w:sz="0" w:space="0" w:color="auto"/>
      </w:divBdr>
      <w:divsChild>
        <w:div w:id="1221016587">
          <w:marLeft w:val="336"/>
          <w:marRight w:val="0"/>
          <w:marTop w:val="120"/>
          <w:marBottom w:val="312"/>
          <w:divBdr>
            <w:top w:val="none" w:sz="0" w:space="0" w:color="auto"/>
            <w:left w:val="none" w:sz="0" w:space="0" w:color="auto"/>
            <w:bottom w:val="none" w:sz="0" w:space="0" w:color="auto"/>
            <w:right w:val="none" w:sz="0" w:space="0" w:color="auto"/>
          </w:divBdr>
          <w:divsChild>
            <w:div w:id="772558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413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ankanoon.org/doc/237570/" TargetMode="External"/><Relationship Id="rId18" Type="http://schemas.openxmlformats.org/officeDocument/2006/relationships/hyperlink" Target="https://indiankanoon.org/doc/1712542/" TargetMode="External"/><Relationship Id="rId26" Type="http://schemas.openxmlformats.org/officeDocument/2006/relationships/hyperlink" Target="https://indiankanoon.org/doc/1171702/" TargetMode="External"/><Relationship Id="rId3" Type="http://schemas.openxmlformats.org/officeDocument/2006/relationships/styles" Target="styles.xml"/><Relationship Id="rId21" Type="http://schemas.openxmlformats.org/officeDocument/2006/relationships/hyperlink" Target="https://indiankanoon.org/doc/23757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diankanoon.org/doc/427855/" TargetMode="External"/><Relationship Id="rId17" Type="http://schemas.openxmlformats.org/officeDocument/2006/relationships/hyperlink" Target="https://indiankanoon.org/doc/1249292/" TargetMode="External"/><Relationship Id="rId25" Type="http://schemas.openxmlformats.org/officeDocument/2006/relationships/hyperlink" Target="https://indiankanoon.org/doc/1712542/" TargetMode="External"/><Relationship Id="rId33" Type="http://schemas.openxmlformats.org/officeDocument/2006/relationships/hyperlink" Target="https://en.wikipedia.org/wiki/German_reunification" TargetMode="External"/><Relationship Id="rId2" Type="http://schemas.openxmlformats.org/officeDocument/2006/relationships/numbering" Target="numbering.xml"/><Relationship Id="rId16" Type="http://schemas.openxmlformats.org/officeDocument/2006/relationships/hyperlink" Target="https://indiankanoon.org/doc/237570/" TargetMode="External"/><Relationship Id="rId20" Type="http://schemas.openxmlformats.org/officeDocument/2006/relationships/hyperlink" Target="https://indiankanoon.org/doc/981147/" TargetMode="External"/><Relationship Id="rId29" Type="http://schemas.openxmlformats.org/officeDocument/2006/relationships/hyperlink" Target="https://en.wikipedia.org/wiki/United_St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kanoon.org/doc/1249292/" TargetMode="External"/><Relationship Id="rId24" Type="http://schemas.openxmlformats.org/officeDocument/2006/relationships/hyperlink" Target="https://indiankanoon.org/doc/981147/" TargetMode="External"/><Relationship Id="rId32" Type="http://schemas.openxmlformats.org/officeDocument/2006/relationships/hyperlink" Target="https://en.wikipedia.org/wiki/East_Germany" TargetMode="External"/><Relationship Id="rId5" Type="http://schemas.openxmlformats.org/officeDocument/2006/relationships/webSettings" Target="webSettings.xml"/><Relationship Id="rId15" Type="http://schemas.openxmlformats.org/officeDocument/2006/relationships/hyperlink" Target="https://indiankanoon.org/doc/981147/" TargetMode="External"/><Relationship Id="rId23" Type="http://schemas.openxmlformats.org/officeDocument/2006/relationships/hyperlink" Target="https://indiankanoon.org/doc/981147/" TargetMode="External"/><Relationship Id="rId28" Type="http://schemas.openxmlformats.org/officeDocument/2006/relationships/hyperlink" Target="https://indiankanoon.org/doc/981147/" TargetMode="External"/><Relationship Id="rId36" Type="http://schemas.openxmlformats.org/officeDocument/2006/relationships/theme" Target="theme/theme1.xml"/><Relationship Id="rId10" Type="http://schemas.openxmlformats.org/officeDocument/2006/relationships/hyperlink" Target="https://indiankanoon.org/doc/237570/" TargetMode="External"/><Relationship Id="rId19" Type="http://schemas.openxmlformats.org/officeDocument/2006/relationships/hyperlink" Target="https://indiankanoon.org/doc/1331149/" TargetMode="External"/><Relationship Id="rId31" Type="http://schemas.openxmlformats.org/officeDocument/2006/relationships/hyperlink" Target="https://en.wikipedia.org/wiki/Communist" TargetMode="External"/><Relationship Id="rId4" Type="http://schemas.openxmlformats.org/officeDocument/2006/relationships/settings" Target="settings.xml"/><Relationship Id="rId9" Type="http://schemas.openxmlformats.org/officeDocument/2006/relationships/hyperlink" Target="https://indiankanoon.org/doc/359668/" TargetMode="External"/><Relationship Id="rId14" Type="http://schemas.openxmlformats.org/officeDocument/2006/relationships/hyperlink" Target="https://indiankanoon.org/doc/1249292/" TargetMode="External"/><Relationship Id="rId22" Type="http://schemas.openxmlformats.org/officeDocument/2006/relationships/hyperlink" Target="https://indiankanoon.org/doc/237570/" TargetMode="External"/><Relationship Id="rId27" Type="http://schemas.openxmlformats.org/officeDocument/2006/relationships/hyperlink" Target="https://indiankanoon.org/doc/1496509/" TargetMode="External"/><Relationship Id="rId30" Type="http://schemas.openxmlformats.org/officeDocument/2006/relationships/hyperlink" Target="https://en.wikipedia.org/wiki/Tribunal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145A-3CE9-471F-BDA4-403C2684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11</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Kalpesh</cp:lastModifiedBy>
  <cp:revision>13</cp:revision>
  <dcterms:created xsi:type="dcterms:W3CDTF">2020-04-20T11:10:00Z</dcterms:created>
  <dcterms:modified xsi:type="dcterms:W3CDTF">2020-05-30T17:45:00Z</dcterms:modified>
</cp:coreProperties>
</file>